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36934" w14:textId="641397B1"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E917D7">
        <w:rPr>
          <w:rFonts w:eastAsiaTheme="minorEastAsia" w:cs="Arial"/>
          <w:bCs/>
          <w:noProof w:val="0"/>
          <w:sz w:val="22"/>
          <w:szCs w:val="22"/>
          <w:lang w:eastAsia="zh-CN"/>
        </w:rPr>
        <w:t>5</w:t>
      </w:r>
      <w:r w:rsidR="00875F9D" w:rsidRPr="006B21ED">
        <w:rPr>
          <w:rFonts w:eastAsiaTheme="minorEastAsia" w:cs="Arial"/>
          <w:bCs/>
          <w:noProof w:val="0"/>
          <w:sz w:val="22"/>
          <w:szCs w:val="22"/>
          <w:lang w:eastAsia="zh-CN"/>
        </w:rPr>
        <w:t xml:space="preserve"> </w:t>
      </w:r>
      <w:r w:rsidR="00875F9D" w:rsidRPr="006B21ED">
        <w:rPr>
          <w:rFonts w:eastAsiaTheme="minorEastAsia" w:cs="Arial"/>
          <w:bCs/>
          <w:noProof w:val="0"/>
          <w:sz w:val="22"/>
          <w:szCs w:val="22"/>
          <w:lang w:eastAsia="zh-CN"/>
        </w:rPr>
        <w:tab/>
      </w:r>
      <w:r w:rsidR="00875F9D" w:rsidRPr="00FF0670">
        <w:rPr>
          <w:rFonts w:eastAsiaTheme="minorEastAsia" w:cs="Arial"/>
          <w:bCs/>
          <w:noProof w:val="0"/>
          <w:sz w:val="22"/>
          <w:szCs w:val="22"/>
          <w:lang w:eastAsia="zh-CN"/>
        </w:rPr>
        <w:t>R4</w:t>
      </w:r>
      <w:r w:rsidR="009F3F67" w:rsidRPr="00FF0670">
        <w:rPr>
          <w:rFonts w:eastAsiaTheme="minorEastAsia" w:cs="Arial"/>
          <w:bCs/>
          <w:noProof w:val="0"/>
          <w:sz w:val="22"/>
          <w:szCs w:val="22"/>
          <w:lang w:eastAsia="zh-CN"/>
        </w:rPr>
        <w:t>-</w:t>
      </w:r>
      <w:r w:rsidR="00337A8B" w:rsidRPr="00337A8B">
        <w:rPr>
          <w:rFonts w:eastAsiaTheme="minorEastAsia" w:cs="Arial"/>
          <w:bCs/>
          <w:noProof w:val="0"/>
          <w:sz w:val="22"/>
          <w:szCs w:val="22"/>
          <w:lang w:val="en-GB" w:eastAsia="zh-CN"/>
        </w:rPr>
        <w:t>2219935</w:t>
      </w:r>
    </w:p>
    <w:p w14:paraId="47A7D14C" w14:textId="17B360A7" w:rsidR="00E07AF8" w:rsidRPr="006B21ED" w:rsidRDefault="00E917D7" w:rsidP="00E07AF8">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eastAsia="zh-CN"/>
        </w:rPr>
        <w:t>M</w:t>
      </w:r>
      <w:r w:rsidR="00E07AF8" w:rsidRPr="006B21ED">
        <w:rPr>
          <w:rFonts w:eastAsiaTheme="minorEastAsia" w:cs="Arial"/>
          <w:bCs/>
          <w:noProof w:val="0"/>
          <w:sz w:val="22"/>
          <w:szCs w:val="22"/>
          <w:lang w:eastAsia="zh-CN"/>
        </w:rPr>
        <w:t xml:space="preserve">eeting, </w:t>
      </w:r>
      <w:bookmarkStart w:id="0" w:name="_Hlk100843778"/>
      <w:r w:rsidR="008C213E" w:rsidRPr="001873DC">
        <w:rPr>
          <w:rFonts w:eastAsiaTheme="minorEastAsia" w:cs="Arial"/>
          <w:bCs/>
          <w:noProof w:val="0"/>
          <w:sz w:val="22"/>
          <w:szCs w:val="22"/>
          <w:lang w:eastAsia="zh-CN"/>
        </w:rPr>
        <w:t>November</w:t>
      </w:r>
      <w:r w:rsidR="00A51BB3" w:rsidRPr="001873DC">
        <w:rPr>
          <w:rFonts w:eastAsiaTheme="minorEastAsia" w:cs="Arial"/>
          <w:bCs/>
          <w:noProof w:val="0"/>
          <w:sz w:val="22"/>
          <w:szCs w:val="22"/>
          <w:lang w:eastAsia="zh-CN"/>
        </w:rPr>
        <w:t xml:space="preserve"> </w:t>
      </w:r>
      <w:r w:rsidR="00630AB4" w:rsidRPr="001873DC">
        <w:rPr>
          <w:rFonts w:eastAsiaTheme="minorEastAsia" w:cs="Arial"/>
          <w:bCs/>
          <w:noProof w:val="0"/>
          <w:sz w:val="22"/>
          <w:szCs w:val="22"/>
          <w:lang w:eastAsia="zh-CN"/>
        </w:rPr>
        <w:t>1</w:t>
      </w:r>
      <w:r w:rsidR="008C213E" w:rsidRPr="001873DC">
        <w:rPr>
          <w:rFonts w:eastAsiaTheme="minorEastAsia" w:cs="Arial"/>
          <w:bCs/>
          <w:noProof w:val="0"/>
          <w:sz w:val="22"/>
          <w:szCs w:val="22"/>
          <w:lang w:eastAsia="zh-CN"/>
        </w:rPr>
        <w:t>4</w:t>
      </w:r>
      <w:r w:rsidR="00A51BB3" w:rsidRPr="001873DC">
        <w:rPr>
          <w:rFonts w:eastAsiaTheme="minorEastAsia" w:cs="Arial"/>
          <w:bCs/>
          <w:noProof w:val="0"/>
          <w:sz w:val="22"/>
          <w:szCs w:val="22"/>
          <w:vertAlign w:val="superscript"/>
          <w:lang w:eastAsia="zh-CN"/>
        </w:rPr>
        <w:t xml:space="preserve">th </w:t>
      </w:r>
      <w:r w:rsidR="00A51BB3" w:rsidRPr="001873DC">
        <w:rPr>
          <w:rFonts w:eastAsiaTheme="minorEastAsia" w:cs="Arial"/>
          <w:bCs/>
          <w:noProof w:val="0"/>
          <w:sz w:val="22"/>
          <w:szCs w:val="22"/>
          <w:lang w:eastAsia="zh-CN"/>
        </w:rPr>
        <w:t xml:space="preserve">- </w:t>
      </w:r>
      <w:r w:rsidR="008C213E" w:rsidRPr="001873DC">
        <w:rPr>
          <w:rFonts w:eastAsiaTheme="minorEastAsia" w:cs="Arial"/>
          <w:bCs/>
          <w:noProof w:val="0"/>
          <w:sz w:val="22"/>
          <w:szCs w:val="22"/>
          <w:lang w:eastAsia="zh-CN"/>
        </w:rPr>
        <w:t>18</w:t>
      </w:r>
      <w:r w:rsidR="00A51BB3" w:rsidRPr="001873DC">
        <w:rPr>
          <w:rFonts w:eastAsiaTheme="minorEastAsia" w:cs="Arial"/>
          <w:bCs/>
          <w:noProof w:val="0"/>
          <w:sz w:val="22"/>
          <w:szCs w:val="22"/>
          <w:vertAlign w:val="superscript"/>
          <w:lang w:eastAsia="zh-CN"/>
        </w:rPr>
        <w:t>th</w:t>
      </w:r>
      <w:bookmarkEnd w:id="0"/>
      <w:r w:rsidR="00A51BB3" w:rsidRPr="001873DC">
        <w:rPr>
          <w:rFonts w:eastAsiaTheme="minorEastAsia" w:cs="Arial"/>
          <w:bCs/>
          <w:noProof w:val="0"/>
          <w:sz w:val="22"/>
          <w:szCs w:val="22"/>
          <w:lang w:eastAsia="zh-CN"/>
        </w:rPr>
        <w:t>,</w:t>
      </w:r>
      <w:r w:rsidR="00E07AF8" w:rsidRPr="00C12B3F">
        <w:rPr>
          <w:rFonts w:eastAsiaTheme="minorEastAsia" w:cs="Arial"/>
          <w:bCs/>
          <w:noProof w:val="0"/>
          <w:sz w:val="22"/>
          <w:szCs w:val="22"/>
          <w:lang w:eastAsia="zh-CN"/>
        </w:rPr>
        <w:t xml:space="preserve"> 202</w:t>
      </w:r>
      <w:r w:rsidR="00772DAB" w:rsidRPr="00C12B3F">
        <w:rPr>
          <w:rFonts w:eastAsiaTheme="minorEastAsia" w:cs="Arial"/>
          <w:bCs/>
          <w:noProof w:val="0"/>
          <w:sz w:val="22"/>
          <w:szCs w:val="22"/>
          <w:lang w:eastAsia="zh-CN"/>
        </w:rPr>
        <w:t>2</w:t>
      </w:r>
    </w:p>
    <w:p w14:paraId="0C152F8C" w14:textId="322BD1C6"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Pr="00FF0670">
        <w:rPr>
          <w:rFonts w:eastAsiaTheme="minorEastAsia" w:cs="Arial"/>
          <w:bCs/>
          <w:noProof w:val="0"/>
          <w:sz w:val="22"/>
          <w:szCs w:val="22"/>
          <w:lang w:eastAsia="zh-CN"/>
        </w:rPr>
        <w:t>:</w:t>
      </w:r>
      <w:r w:rsidR="00743D3D" w:rsidRPr="00FF0670">
        <w:rPr>
          <w:rFonts w:eastAsiaTheme="minorEastAsia" w:cs="Arial"/>
          <w:bCs/>
          <w:noProof w:val="0"/>
          <w:sz w:val="22"/>
          <w:szCs w:val="22"/>
          <w:lang w:eastAsia="zh-CN"/>
        </w:rPr>
        <w:t xml:space="preserve"> </w:t>
      </w:r>
      <w:r w:rsidR="008C213E">
        <w:rPr>
          <w:rFonts w:eastAsiaTheme="minorEastAsia" w:cs="Arial"/>
          <w:bCs/>
          <w:noProof w:val="0"/>
          <w:sz w:val="22"/>
          <w:szCs w:val="22"/>
          <w:lang w:eastAsia="zh-CN"/>
        </w:rPr>
        <w:t>6.6.2</w:t>
      </w:r>
    </w:p>
    <w:p w14:paraId="23CDC6A8" w14:textId="4D673D3F"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772DAB">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84AE8BC" w14:textId="477557A4"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7A13">
        <w:rPr>
          <w:rFonts w:eastAsiaTheme="minorEastAsia" w:cs="Arial"/>
          <w:bCs/>
          <w:noProof w:val="0"/>
          <w:sz w:val="22"/>
          <w:szCs w:val="22"/>
          <w:lang w:eastAsia="zh-CN"/>
        </w:rPr>
        <w:t>Discussion on mobility requirements</w:t>
      </w:r>
      <w:r w:rsidR="005B4B3F" w:rsidRPr="006B21ED">
        <w:rPr>
          <w:rFonts w:eastAsiaTheme="minorEastAsia" w:cs="Arial"/>
          <w:bCs/>
          <w:noProof w:val="0"/>
          <w:sz w:val="22"/>
          <w:szCs w:val="22"/>
          <w:lang w:eastAsia="zh-CN"/>
        </w:rPr>
        <w:t xml:space="preserve"> </w:t>
      </w:r>
    </w:p>
    <w:p w14:paraId="5CCF35A2"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144970AE" w14:textId="77777777"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60747B1B" w14:textId="4CF1042F" w:rsidR="004713AD" w:rsidRPr="00D34B64" w:rsidRDefault="002C6490" w:rsidP="00B20E27">
      <w:pPr>
        <w:jc w:val="both"/>
      </w:pPr>
      <w:r w:rsidRPr="003675B9">
        <w:t xml:space="preserve">In this </w:t>
      </w:r>
      <w:r w:rsidR="00B67301" w:rsidRPr="003675B9">
        <w:t xml:space="preserve">contribution </w:t>
      </w:r>
      <w:r w:rsidR="00D32C5A" w:rsidRPr="003675B9">
        <w:t xml:space="preserve">paper, we discuss the </w:t>
      </w:r>
      <w:r w:rsidR="002955A3" w:rsidRPr="003675B9">
        <w:t xml:space="preserve">remaining open issues on mobility requirements captured in the way forward (WF) </w:t>
      </w:r>
      <w:r w:rsidR="002955A3" w:rsidRPr="003675B9">
        <w:fldChar w:fldCharType="begin"/>
      </w:r>
      <w:r w:rsidR="002955A3" w:rsidRPr="003675B9">
        <w:instrText xml:space="preserve"> REF _Ref85725581 \r \h </w:instrText>
      </w:r>
      <w:r w:rsidR="00A51BB3" w:rsidRPr="003675B9">
        <w:instrText xml:space="preserve"> \* MERGEFORMAT </w:instrText>
      </w:r>
      <w:r w:rsidR="002955A3" w:rsidRPr="003675B9">
        <w:fldChar w:fldCharType="separate"/>
      </w:r>
      <w:r w:rsidR="00001FA3">
        <w:t>[1]</w:t>
      </w:r>
      <w:r w:rsidR="002955A3" w:rsidRPr="003675B9">
        <w:fldChar w:fldCharType="end"/>
      </w:r>
      <w:r w:rsidR="004713AD" w:rsidRPr="003675B9">
        <w:t>.</w:t>
      </w:r>
    </w:p>
    <w:p w14:paraId="7FDC0E16" w14:textId="3A74D794" w:rsidR="00BE1811" w:rsidRDefault="00BE1811" w:rsidP="00630AB4">
      <w:pPr>
        <w:pStyle w:val="Heading1"/>
        <w:numPr>
          <w:ilvl w:val="0"/>
          <w:numId w:val="1"/>
        </w:numPr>
        <w:jc w:val="both"/>
        <w:rPr>
          <w:rFonts w:ascii="Arial" w:hAnsi="Arial" w:cs="Arial"/>
        </w:rPr>
      </w:pPr>
      <w:r>
        <w:rPr>
          <w:rFonts w:ascii="Arial" w:hAnsi="Arial" w:cs="Arial"/>
        </w:rPr>
        <w:t xml:space="preserve">Discussion on </w:t>
      </w:r>
      <w:r w:rsidR="00934864">
        <w:rPr>
          <w:rFonts w:ascii="Arial" w:hAnsi="Arial" w:cs="Arial"/>
        </w:rPr>
        <w:t>mobility</w:t>
      </w:r>
      <w:r>
        <w:rPr>
          <w:rFonts w:ascii="Arial" w:hAnsi="Arial" w:cs="Arial"/>
        </w:rPr>
        <w:t xml:space="preserve"> open issues</w:t>
      </w:r>
    </w:p>
    <w:p w14:paraId="6841E5D8" w14:textId="2F7F25E7" w:rsidR="002955A3" w:rsidRDefault="00BE1811" w:rsidP="00BE1811">
      <w:pPr>
        <w:jc w:val="both"/>
        <w:rPr>
          <w:rFonts w:cstheme="minorHAnsi"/>
          <w:b/>
          <w:lang w:eastAsia="ko-KR"/>
        </w:rPr>
      </w:pPr>
      <w:r>
        <w:t xml:space="preserve">The open issue from the WF </w:t>
      </w:r>
      <w:r w:rsidR="00EB1017">
        <w:t>is</w:t>
      </w:r>
      <w:r>
        <w:t xml:space="preserve"> given below: </w:t>
      </w:r>
    </w:p>
    <w:tbl>
      <w:tblPr>
        <w:tblStyle w:val="TableGrid"/>
        <w:tblW w:w="0" w:type="auto"/>
        <w:tblLook w:val="04A0" w:firstRow="1" w:lastRow="0" w:firstColumn="1" w:lastColumn="0" w:noHBand="0" w:noVBand="1"/>
      </w:tblPr>
      <w:tblGrid>
        <w:gridCol w:w="9629"/>
      </w:tblGrid>
      <w:tr w:rsidR="00BE1811" w14:paraId="25350E4E" w14:textId="77777777" w:rsidTr="00BE1811">
        <w:tc>
          <w:tcPr>
            <w:tcW w:w="9629" w:type="dxa"/>
          </w:tcPr>
          <w:p w14:paraId="15E87289" w14:textId="1117A9E9" w:rsidR="009D4B1C" w:rsidRDefault="009D4B1C" w:rsidP="009D4B1C">
            <w:pPr>
              <w:rPr>
                <w:b/>
                <w:color w:val="000000" w:themeColor="text1"/>
                <w:u w:val="single"/>
                <w:lang w:val="en-US" w:eastAsia="ko-KR"/>
              </w:rPr>
            </w:pPr>
            <w:r w:rsidRPr="00100963">
              <w:rPr>
                <w:b/>
                <w:color w:val="000000" w:themeColor="text1"/>
                <w:u w:val="single"/>
                <w:lang w:val="en-US" w:eastAsia="ko-KR"/>
              </w:rPr>
              <w:t>Requirements for HO to a BWP which has different SSB with the one used for measurement</w:t>
            </w:r>
          </w:p>
          <w:p w14:paraId="117E9D62" w14:textId="77777777" w:rsidR="009D4B1C" w:rsidRDefault="009D4B1C" w:rsidP="009D4B1C">
            <w:pPr>
              <w:pStyle w:val="ListParagraph"/>
              <w:numPr>
                <w:ilvl w:val="1"/>
                <w:numId w:val="30"/>
              </w:numPr>
              <w:spacing w:after="120" w:line="240" w:lineRule="auto"/>
              <w:ind w:left="1440"/>
              <w:contextualSpacing w:val="0"/>
              <w:rPr>
                <w:rFonts w:eastAsia="SimSun"/>
                <w:b/>
                <w:bCs/>
                <w:color w:val="000000" w:themeColor="text1"/>
                <w:lang w:val="en-US"/>
              </w:rPr>
            </w:pPr>
            <w:r>
              <w:rPr>
                <w:rFonts w:eastAsia="SimSun"/>
                <w:b/>
                <w:bCs/>
                <w:color w:val="000000" w:themeColor="text1"/>
                <w:lang w:val="en-US"/>
              </w:rPr>
              <w:t xml:space="preserve">Option 1 (Ericsson, HW, Nokia, Apple, Intel, CMCC, OPPO, Xiaomi, HW): </w:t>
            </w:r>
            <w:r>
              <w:rPr>
                <w:rFonts w:eastAsia="SimSun"/>
                <w:color w:val="000000" w:themeColor="text1"/>
                <w:lang w:val="en-US"/>
              </w:rPr>
              <w:t>No additional delay is needed when UE handover to a BWP which has different SSB type with the one used for measurement.</w:t>
            </w:r>
            <w:r>
              <w:rPr>
                <w:rFonts w:eastAsia="SimSun"/>
                <w:b/>
                <w:bCs/>
                <w:color w:val="000000" w:themeColor="text1"/>
                <w:lang w:val="en-US"/>
              </w:rPr>
              <w:t xml:space="preserve">  </w:t>
            </w:r>
          </w:p>
          <w:p w14:paraId="41686123" w14:textId="77777777" w:rsidR="009D4B1C" w:rsidRPr="008B27F7" w:rsidRDefault="009D4B1C" w:rsidP="009D4B1C">
            <w:pPr>
              <w:pStyle w:val="ListParagraph"/>
              <w:numPr>
                <w:ilvl w:val="1"/>
                <w:numId w:val="30"/>
              </w:numPr>
              <w:spacing w:after="120" w:line="240" w:lineRule="auto"/>
              <w:ind w:left="1440"/>
              <w:contextualSpacing w:val="0"/>
              <w:rPr>
                <w:rFonts w:eastAsia="SimSun"/>
                <w:b/>
                <w:bCs/>
                <w:color w:val="000000" w:themeColor="text1"/>
                <w:lang w:val="en-US"/>
              </w:rPr>
            </w:pPr>
            <w:r>
              <w:rPr>
                <w:rFonts w:eastAsia="SimSun"/>
                <w:b/>
                <w:bCs/>
                <w:color w:val="000000" w:themeColor="text1"/>
                <w:lang w:val="en-US"/>
              </w:rPr>
              <w:t xml:space="preserve">Option 2 (QC, MTK): </w:t>
            </w:r>
            <w:r>
              <w:rPr>
                <w:rFonts w:eastAsia="SimSun"/>
                <w:color w:val="000000" w:themeColor="text1"/>
                <w:lang w:val="en-US"/>
              </w:rPr>
              <w:t>The scenario when handover is performed to a BWP which has different SSB than the one used during measurement should be considered as handover to an unknown cell. Capture the above condition as a note in the Handover related section in TS38.133</w:t>
            </w:r>
          </w:p>
          <w:p w14:paraId="5C635FD1" w14:textId="77777777" w:rsidR="009D4B1C" w:rsidRPr="008B27F7" w:rsidRDefault="009D4B1C" w:rsidP="009D4B1C">
            <w:pPr>
              <w:pStyle w:val="ListParagraph"/>
              <w:numPr>
                <w:ilvl w:val="1"/>
                <w:numId w:val="30"/>
              </w:numPr>
              <w:spacing w:after="120" w:line="240" w:lineRule="auto"/>
              <w:ind w:left="1440"/>
              <w:contextualSpacing w:val="0"/>
              <w:rPr>
                <w:rFonts w:eastAsia="SimSun"/>
                <w:b/>
                <w:bCs/>
                <w:color w:val="000000" w:themeColor="text1"/>
                <w:lang w:val="en-US"/>
              </w:rPr>
            </w:pPr>
            <w:r>
              <w:rPr>
                <w:rFonts w:eastAsia="SimSun"/>
                <w:b/>
                <w:bCs/>
                <w:color w:val="000000" w:themeColor="text1"/>
                <w:lang w:val="en-US"/>
              </w:rPr>
              <w:t>Option 2a (QC</w:t>
            </w:r>
            <w:r>
              <w:rPr>
                <w:b/>
                <w:bCs/>
                <w:color w:val="000000" w:themeColor="text1"/>
              </w:rPr>
              <w:t xml:space="preserve">): </w:t>
            </w:r>
            <w:r>
              <w:t xml:space="preserve">When handover is performed to a known cell where the SSB associated with the first active BWP is different from the SSB used during intra-frequency or inter-frequency measurements of the target cell, </w:t>
            </w:r>
            <w:r w:rsidRPr="008B27F7">
              <w:t xml:space="preserve">then </w:t>
            </w:r>
            <w:proofErr w:type="spellStart"/>
            <w:r w:rsidRPr="008B27F7">
              <w:t>T</w:t>
            </w:r>
            <w:r w:rsidRPr="008B27F7">
              <w:rPr>
                <w:vertAlign w:val="subscript"/>
              </w:rPr>
              <w:t>search</w:t>
            </w:r>
            <w:proofErr w:type="spellEnd"/>
            <w:r w:rsidRPr="008B27F7">
              <w:t xml:space="preserve"> = </w:t>
            </w:r>
            <w:proofErr w:type="spellStart"/>
            <w:proofErr w:type="gramStart"/>
            <w:r w:rsidRPr="008B27F7">
              <w:t>T</w:t>
            </w:r>
            <w:r w:rsidRPr="008B27F7">
              <w:rPr>
                <w:vertAlign w:val="subscript"/>
              </w:rPr>
              <w:t>rs</w:t>
            </w:r>
            <w:proofErr w:type="spellEnd"/>
            <w:r w:rsidRPr="008B27F7" w:rsidDel="000446A6">
              <w:t xml:space="preserve"> </w:t>
            </w:r>
            <w:r w:rsidRPr="008B27F7">
              <w:t xml:space="preserve"> </w:t>
            </w:r>
            <w:proofErr w:type="spellStart"/>
            <w:r w:rsidRPr="008B27F7">
              <w:t>ms</w:t>
            </w:r>
            <w:proofErr w:type="spellEnd"/>
            <w:proofErr w:type="gramEnd"/>
            <w:r>
              <w:t xml:space="preserve"> if the target cell is intra-frequency cell and </w:t>
            </w:r>
            <w:proofErr w:type="spellStart"/>
            <w:r w:rsidRPr="008B27F7">
              <w:t>T</w:t>
            </w:r>
            <w:r w:rsidRPr="008B27F7">
              <w:rPr>
                <w:vertAlign w:val="subscript"/>
              </w:rPr>
              <w:t>search</w:t>
            </w:r>
            <w:proofErr w:type="spellEnd"/>
            <w:r w:rsidRPr="008B27F7">
              <w:t xml:space="preserve"> = </w:t>
            </w:r>
            <w:r>
              <w:t>2</w:t>
            </w:r>
            <w:r w:rsidRPr="008B27F7">
              <w:t xml:space="preserve">* </w:t>
            </w:r>
            <w:proofErr w:type="spellStart"/>
            <w:r w:rsidRPr="008B27F7">
              <w:t>T</w:t>
            </w:r>
            <w:r w:rsidRPr="008B27F7">
              <w:rPr>
                <w:vertAlign w:val="subscript"/>
              </w:rPr>
              <w:t>rs</w:t>
            </w:r>
            <w:proofErr w:type="spellEnd"/>
            <w:r w:rsidRPr="008B27F7">
              <w:t xml:space="preserve">  </w:t>
            </w:r>
            <w:proofErr w:type="spellStart"/>
            <w:r w:rsidRPr="008B27F7">
              <w:t>ms</w:t>
            </w:r>
            <w:proofErr w:type="spellEnd"/>
            <w:r>
              <w:t xml:space="preserve"> if the target cell in inter-frequency cell.”</w:t>
            </w:r>
          </w:p>
          <w:p w14:paraId="6B5FC88A" w14:textId="77777777" w:rsidR="009D4B1C" w:rsidRPr="008B27F7" w:rsidRDefault="009D4B1C" w:rsidP="009D4B1C">
            <w:pPr>
              <w:pStyle w:val="ListParagraph"/>
              <w:numPr>
                <w:ilvl w:val="1"/>
                <w:numId w:val="30"/>
              </w:numPr>
              <w:spacing w:after="120" w:line="240" w:lineRule="auto"/>
              <w:ind w:left="1440"/>
              <w:contextualSpacing w:val="0"/>
              <w:rPr>
                <w:rFonts w:eastAsia="SimSun"/>
                <w:b/>
                <w:bCs/>
                <w:color w:val="000000" w:themeColor="text1"/>
                <w:lang w:val="en-US"/>
              </w:rPr>
            </w:pPr>
            <w:r>
              <w:rPr>
                <w:b/>
                <w:bCs/>
                <w:color w:val="000000" w:themeColor="text1"/>
                <w:lang w:val="en-US"/>
              </w:rPr>
              <w:t xml:space="preserve">Compromise (new) </w:t>
            </w:r>
            <w:r w:rsidRPr="008B27F7">
              <w:rPr>
                <w:b/>
                <w:bCs/>
                <w:color w:val="000000" w:themeColor="text1"/>
                <w:lang w:val="en-US"/>
              </w:rPr>
              <w:t>Option 3</w:t>
            </w:r>
            <w:r>
              <w:rPr>
                <w:b/>
                <w:bCs/>
                <w:color w:val="000000" w:themeColor="text1"/>
                <w:lang w:val="en-US"/>
              </w:rPr>
              <w:t xml:space="preserve"> </w:t>
            </w:r>
            <w:r w:rsidRPr="008B27F7">
              <w:rPr>
                <w:b/>
                <w:bCs/>
                <w:color w:val="000000" w:themeColor="text1"/>
                <w:lang w:val="en-US"/>
              </w:rPr>
              <w:t>(Ericsson</w:t>
            </w:r>
            <w:r>
              <w:rPr>
                <w:b/>
                <w:bCs/>
                <w:color w:val="000000" w:themeColor="text1"/>
                <w:lang w:val="en-US"/>
              </w:rPr>
              <w:t>, vivo, Apple</w:t>
            </w:r>
            <w:r w:rsidRPr="008B27F7">
              <w:rPr>
                <w:b/>
                <w:bCs/>
                <w:color w:val="000000" w:themeColor="text1"/>
                <w:lang w:val="en-US"/>
              </w:rPr>
              <w:t>):</w:t>
            </w:r>
            <w:r w:rsidRPr="008B27F7">
              <w:rPr>
                <w:color w:val="000000" w:themeColor="text1"/>
                <w:lang w:val="en-US"/>
              </w:rPr>
              <w:t xml:space="preserve"> An additional delay is allowed if some conditions are met, such as the frequency difference between NCD-SSB and CD-SSB is larger than a threshold</w:t>
            </w:r>
            <w:r>
              <w:rPr>
                <w:color w:val="000000" w:themeColor="text1"/>
                <w:lang w:val="en-US"/>
              </w:rPr>
              <w:t>.</w:t>
            </w:r>
          </w:p>
          <w:p w14:paraId="10B8801E" w14:textId="77777777" w:rsidR="00BE1811" w:rsidRDefault="009D4B1C" w:rsidP="00EB1017">
            <w:pPr>
              <w:rPr>
                <w:color w:val="000000" w:themeColor="text1"/>
                <w:lang w:val="en-US" w:eastAsia="ko-KR"/>
              </w:rPr>
            </w:pPr>
            <w:r w:rsidRPr="008B27F7">
              <w:rPr>
                <w:b/>
                <w:bCs/>
                <w:color w:val="000000" w:themeColor="text1"/>
                <w:lang w:val="en-US"/>
              </w:rPr>
              <w:t>Option 4 (new)</w:t>
            </w:r>
            <w:r>
              <w:rPr>
                <w:b/>
                <w:bCs/>
                <w:color w:val="000000" w:themeColor="text1"/>
                <w:lang w:val="en-US"/>
              </w:rPr>
              <w:t xml:space="preserve"> (Ericsson)</w:t>
            </w:r>
            <w:r w:rsidRPr="008B27F7">
              <w:rPr>
                <w:b/>
                <w:bCs/>
                <w:color w:val="000000" w:themeColor="text1"/>
                <w:lang w:val="en-US"/>
              </w:rPr>
              <w:t>:</w:t>
            </w:r>
            <w:r>
              <w:rPr>
                <w:color w:val="000000" w:themeColor="text1"/>
                <w:lang w:val="en-US"/>
              </w:rPr>
              <w:t xml:space="preserve"> </w:t>
            </w:r>
            <w:r w:rsidRPr="00F158EE">
              <w:rPr>
                <w:color w:val="000000" w:themeColor="text1"/>
                <w:lang w:val="en-US"/>
              </w:rPr>
              <w:t>Additional delay is allowed if the frequency difference between NCD-SSB and CD-SSB is larger than a threshold</w:t>
            </w:r>
            <w:r w:rsidRPr="00F158EE">
              <w:rPr>
                <w:color w:val="000000" w:themeColor="text1"/>
                <w:lang w:val="en-US" w:eastAsia="ko-KR"/>
              </w:rPr>
              <w:t>.</w:t>
            </w:r>
          </w:p>
          <w:p w14:paraId="48C1E0A1" w14:textId="77777777" w:rsidR="009C7656" w:rsidRPr="00100963" w:rsidRDefault="009C7656" w:rsidP="009C7656">
            <w:pPr>
              <w:rPr>
                <w:b/>
                <w:color w:val="000000" w:themeColor="text1"/>
                <w:u w:val="single"/>
                <w:lang w:val="en-US" w:eastAsia="ko-KR"/>
              </w:rPr>
            </w:pPr>
            <w:r w:rsidRPr="00100963">
              <w:rPr>
                <w:b/>
                <w:color w:val="000000" w:themeColor="text1"/>
                <w:u w:val="single"/>
                <w:lang w:val="en-US" w:eastAsia="ko-KR"/>
              </w:rPr>
              <w:t xml:space="preserve">RRC reestablishment delay with </w:t>
            </w:r>
            <w:proofErr w:type="spellStart"/>
            <w:r w:rsidRPr="00100963">
              <w:rPr>
                <w:b/>
                <w:color w:val="000000" w:themeColor="text1"/>
                <w:u w:val="single"/>
                <w:lang w:val="en-US" w:eastAsia="ko-KR"/>
              </w:rPr>
              <w:t>RedCap</w:t>
            </w:r>
            <w:proofErr w:type="spellEnd"/>
            <w:r w:rsidRPr="00100963">
              <w:rPr>
                <w:b/>
                <w:color w:val="000000" w:themeColor="text1"/>
                <w:u w:val="single"/>
                <w:lang w:val="en-US" w:eastAsia="ko-KR"/>
              </w:rPr>
              <w:t xml:space="preserve"> specific initial BWP </w:t>
            </w:r>
          </w:p>
          <w:p w14:paraId="50D36737" w14:textId="77777777" w:rsidR="009C7656" w:rsidRPr="00100963" w:rsidRDefault="009C7656" w:rsidP="009C7656">
            <w:pPr>
              <w:rPr>
                <w:bCs/>
                <w:color w:val="000000" w:themeColor="text1"/>
                <w:lang w:val="en-US" w:eastAsia="ko-KR"/>
              </w:rPr>
            </w:pPr>
            <w:r w:rsidRPr="00100963">
              <w:rPr>
                <w:bCs/>
                <w:color w:val="000000" w:themeColor="text1"/>
                <w:lang w:val="en-US" w:eastAsia="ko-KR"/>
              </w:rPr>
              <w:t xml:space="preserve">When the Redcap specific initial BWP is configured for RA, extend RRC connection release with re-direction delay by X </w:t>
            </w:r>
            <w:proofErr w:type="spellStart"/>
            <w:r w:rsidRPr="00100963">
              <w:rPr>
                <w:bCs/>
                <w:color w:val="000000" w:themeColor="text1"/>
                <w:lang w:val="en-US" w:eastAsia="ko-KR"/>
              </w:rPr>
              <w:t>ms.</w:t>
            </w:r>
            <w:proofErr w:type="spellEnd"/>
          </w:p>
          <w:p w14:paraId="592B83F1" w14:textId="77777777" w:rsidR="009C7656" w:rsidRPr="00100963" w:rsidRDefault="00FB48F6" w:rsidP="009C7656">
            <w:pPr>
              <w:pStyle w:val="EQ"/>
              <w:numPr>
                <w:ilvl w:val="0"/>
                <w:numId w:val="43"/>
              </w:numPr>
              <w:spacing w:after="0" w:line="240" w:lineRule="auto"/>
              <w:ind w:left="2424"/>
              <w:rPr>
                <w:bCs/>
                <w:iCs/>
                <w:color w:val="000000" w:themeColor="text1"/>
                <w:lang w:eastAsia="ko-KR"/>
              </w:rPr>
            </w:pPr>
            <m:oMath>
              <m:sSub>
                <m:sSubPr>
                  <m:ctrlPr>
                    <w:rPr>
                      <w:rFonts w:ascii="Cambria Math" w:hAnsi="Cambria Math"/>
                      <w:bCs/>
                      <w:iCs/>
                      <w:color w:val="000000" w:themeColor="text1"/>
                      <w:lang w:eastAsia="ko-KR"/>
                    </w:rPr>
                  </m:ctrlPr>
                </m:sSubPr>
                <m:e>
                  <m:r>
                    <m:rPr>
                      <m:sty m:val="p"/>
                    </m:rPr>
                    <w:rPr>
                      <w:rFonts w:ascii="Cambria Math" w:hAnsi="Cambria Math"/>
                      <w:color w:val="000000" w:themeColor="text1"/>
                      <w:lang w:eastAsia="ko-KR"/>
                    </w:rPr>
                    <m:t>T</m:t>
                  </m:r>
                </m:e>
                <m:sub>
                  <m:r>
                    <m:rPr>
                      <m:sty m:val="p"/>
                    </m:rPr>
                    <w:rPr>
                      <w:rFonts w:ascii="Cambria Math" w:hAnsi="Cambria Math"/>
                      <w:color w:val="000000" w:themeColor="text1"/>
                      <w:lang w:eastAsia="ko-KR"/>
                    </w:rPr>
                    <m:t>UE_re-establish_delay</m:t>
                  </m:r>
                </m:sub>
              </m:sSub>
              <m:r>
                <m:rPr>
                  <m:sty m:val="p"/>
                </m:rPr>
                <w:rPr>
                  <w:rFonts w:ascii="Cambria Math" w:hAnsi="Cambria Math"/>
                  <w:color w:val="000000" w:themeColor="text1"/>
                  <w:lang w:eastAsia="ko-KR"/>
                </w:rPr>
                <m:t>=50 ms+</m:t>
              </m:r>
              <m:sSub>
                <m:sSubPr>
                  <m:ctrlPr>
                    <w:rPr>
                      <w:rFonts w:ascii="Cambria Math" w:hAnsi="Cambria Math"/>
                      <w:bCs/>
                      <w:iCs/>
                      <w:color w:val="000000" w:themeColor="text1"/>
                      <w:lang w:eastAsia="ko-KR"/>
                    </w:rPr>
                  </m:ctrlPr>
                </m:sSubPr>
                <m:e>
                  <m:r>
                    <m:rPr>
                      <m:sty m:val="p"/>
                    </m:rPr>
                    <w:rPr>
                      <w:rFonts w:ascii="Cambria Math" w:hAnsi="Cambria Math"/>
                      <w:color w:val="000000" w:themeColor="text1"/>
                      <w:lang w:eastAsia="ko-KR"/>
                    </w:rPr>
                    <m:t>T</m:t>
                  </m:r>
                </m:e>
                <m:sub>
                  <m:r>
                    <m:rPr>
                      <m:sty m:val="p"/>
                    </m:rPr>
                    <w:rPr>
                      <w:rFonts w:ascii="Cambria Math" w:hAnsi="Cambria Math"/>
                      <w:color w:val="000000" w:themeColor="text1"/>
                      <w:lang w:eastAsia="ko-KR"/>
                    </w:rPr>
                    <m:t>identify_intra_NR</m:t>
                  </m:r>
                </m:sub>
              </m:sSub>
              <m:r>
                <m:rPr>
                  <m:sty m:val="p"/>
                </m:rPr>
                <w:rPr>
                  <w:rFonts w:ascii="Cambria Math" w:hAnsi="Cambria Math"/>
                  <w:color w:val="000000" w:themeColor="text1"/>
                  <w:lang w:eastAsia="ko-KR"/>
                </w:rPr>
                <m:t>+</m:t>
              </m:r>
              <m:nary>
                <m:naryPr>
                  <m:chr m:val="∑"/>
                  <m:limLoc m:val="subSup"/>
                  <m:ctrlPr>
                    <w:rPr>
                      <w:rFonts w:ascii="Cambria Math" w:hAnsi="Cambria Math"/>
                      <w:bCs/>
                      <w:iCs/>
                      <w:color w:val="000000" w:themeColor="text1"/>
                    </w:rPr>
                  </m:ctrlPr>
                </m:naryPr>
                <m:sub>
                  <m:r>
                    <m:rPr>
                      <m:sty m:val="p"/>
                    </m:rPr>
                    <w:rPr>
                      <w:rFonts w:ascii="Cambria Math" w:hAnsi="Cambria Math"/>
                      <w:color w:val="000000" w:themeColor="text1"/>
                    </w:rPr>
                    <m:t>i=1</m:t>
                  </m:r>
                </m:sub>
                <m:sup>
                  <m:sSub>
                    <m:sSubPr>
                      <m:ctrlPr>
                        <w:rPr>
                          <w:rFonts w:ascii="Cambria Math" w:hAnsi="Cambria Math"/>
                          <w:bCs/>
                          <w:i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freq</m:t>
                      </m:r>
                    </m:sub>
                  </m:sSub>
                  <m:r>
                    <m:rPr>
                      <m:sty m:val="p"/>
                    </m:rPr>
                    <w:rPr>
                      <w:rFonts w:ascii="Cambria Math" w:hAnsi="Cambria Math"/>
                      <w:color w:val="000000" w:themeColor="text1"/>
                    </w:rPr>
                    <m:t>-1</m:t>
                  </m:r>
                </m:sup>
                <m:e>
                  <m:sSub>
                    <m:sSubPr>
                      <m:ctrlPr>
                        <w:rPr>
                          <w:rFonts w:ascii="Cambria Math" w:hAnsi="Cambria Math"/>
                          <w:bCs/>
                          <w:iCs/>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identify_inter_NR,i</m:t>
                      </m:r>
                    </m:sub>
                  </m:sSub>
                </m:e>
              </m:nary>
              <m:r>
                <m:rPr>
                  <m:sty m:val="p"/>
                </m:rPr>
                <w:rPr>
                  <w:rFonts w:ascii="Cambria Math" w:hAnsi="Cambria Math"/>
                  <w:color w:val="000000" w:themeColor="text1"/>
                  <w:vertAlign w:val="subscript"/>
                </w:rPr>
                <m:t>+</m:t>
              </m:r>
              <m:sSub>
                <m:sSubPr>
                  <m:ctrlPr>
                    <w:rPr>
                      <w:rFonts w:ascii="Cambria Math" w:hAnsi="Cambria Math"/>
                      <w:bCs/>
                      <w:iCs/>
                      <w:color w:val="000000" w:themeColor="text1"/>
                      <w:vertAlign w:val="subscript"/>
                    </w:rPr>
                  </m:ctrlPr>
                </m:sSubPr>
                <m:e>
                  <m:r>
                    <m:rPr>
                      <m:sty m:val="p"/>
                    </m:rPr>
                    <w:rPr>
                      <w:rFonts w:ascii="Cambria Math" w:hAnsi="Cambria Math"/>
                      <w:color w:val="000000" w:themeColor="text1"/>
                      <w:vertAlign w:val="subscript"/>
                    </w:rPr>
                    <m:t>T</m:t>
                  </m:r>
                </m:e>
                <m:sub>
                  <m:r>
                    <m:rPr>
                      <m:sty m:val="p"/>
                    </m:rPr>
                    <w:rPr>
                      <w:rFonts w:ascii="Cambria Math" w:hAnsi="Cambria Math"/>
                      <w:color w:val="000000" w:themeColor="text1"/>
                      <w:vertAlign w:val="subscript"/>
                    </w:rPr>
                    <m:t>SI-NR</m:t>
                  </m:r>
                </m:sub>
              </m:sSub>
              <m:r>
                <m:rPr>
                  <m:sty m:val="p"/>
                </m:rPr>
                <w:rPr>
                  <w:rFonts w:ascii="Cambria Math" w:hAnsi="Cambria Math"/>
                  <w:color w:val="000000" w:themeColor="text1"/>
                  <w:vertAlign w:val="subscript"/>
                </w:rPr>
                <m:t>+</m:t>
              </m:r>
              <m:sSub>
                <m:sSubPr>
                  <m:ctrlPr>
                    <w:rPr>
                      <w:rFonts w:ascii="Cambria Math" w:hAnsi="Cambria Math"/>
                      <w:bCs/>
                      <w:iCs/>
                      <w:color w:val="000000" w:themeColor="text1"/>
                      <w:vertAlign w:val="subscript"/>
                    </w:rPr>
                  </m:ctrlPr>
                </m:sSubPr>
                <m:e>
                  <m:r>
                    <m:rPr>
                      <m:sty m:val="p"/>
                    </m:rPr>
                    <w:rPr>
                      <w:rFonts w:ascii="Cambria Math" w:hAnsi="Cambria Math"/>
                      <w:color w:val="000000" w:themeColor="text1"/>
                      <w:vertAlign w:val="subscript"/>
                    </w:rPr>
                    <m:t>T</m:t>
                  </m:r>
                </m:e>
                <m:sub>
                  <m:r>
                    <m:rPr>
                      <m:sty m:val="p"/>
                    </m:rPr>
                    <w:rPr>
                      <w:rFonts w:ascii="Cambria Math" w:hAnsi="Cambria Math"/>
                      <w:color w:val="000000" w:themeColor="text1"/>
                      <w:vertAlign w:val="subscript"/>
                    </w:rPr>
                    <m:t>PRACH</m:t>
                  </m:r>
                </m:sub>
              </m:sSub>
              <m:r>
                <m:rPr>
                  <m:sty m:val="p"/>
                </m:rPr>
                <w:rPr>
                  <w:rFonts w:ascii="Cambria Math" w:hAnsi="Cambria Math"/>
                  <w:color w:val="000000" w:themeColor="text1"/>
                  <w:vertAlign w:val="subscript"/>
                </w:rPr>
                <m:t>+X</m:t>
              </m:r>
            </m:oMath>
          </w:p>
          <w:p w14:paraId="7571A205" w14:textId="77777777" w:rsidR="009C7656" w:rsidRPr="009C7656" w:rsidRDefault="009C7656" w:rsidP="009C7656">
            <w:pPr>
              <w:pStyle w:val="ListParagraph"/>
              <w:numPr>
                <w:ilvl w:val="0"/>
                <w:numId w:val="43"/>
              </w:numPr>
              <w:spacing w:after="0" w:line="240" w:lineRule="auto"/>
              <w:ind w:left="2424"/>
              <w:rPr>
                <w:bCs/>
                <w:color w:val="000000" w:themeColor="text1"/>
                <w:highlight w:val="yellow"/>
                <w:lang w:eastAsia="ko-KR"/>
              </w:rPr>
            </w:pPr>
            <w:r w:rsidRPr="009C7656">
              <w:rPr>
                <w:bCs/>
                <w:color w:val="000000" w:themeColor="text1"/>
                <w:highlight w:val="yellow"/>
                <w:lang w:eastAsia="ko-KR"/>
              </w:rPr>
              <w:t>X = TBD</w:t>
            </w:r>
          </w:p>
          <w:p w14:paraId="41390986" w14:textId="77777777" w:rsidR="009C7656" w:rsidRPr="00100963" w:rsidRDefault="009C7656" w:rsidP="009C7656">
            <w:pPr>
              <w:rPr>
                <w:b/>
                <w:color w:val="000000" w:themeColor="text1"/>
                <w:u w:val="single"/>
                <w:lang w:val="en-US" w:eastAsia="ko-KR"/>
              </w:rPr>
            </w:pPr>
            <w:r w:rsidRPr="00100963">
              <w:rPr>
                <w:b/>
                <w:color w:val="000000" w:themeColor="text1"/>
                <w:u w:val="single"/>
                <w:lang w:val="en-US" w:eastAsia="ko-KR"/>
              </w:rPr>
              <w:t xml:space="preserve">RRC connection release with redirection delay with </w:t>
            </w:r>
            <w:proofErr w:type="spellStart"/>
            <w:r w:rsidRPr="00100963">
              <w:rPr>
                <w:b/>
                <w:color w:val="000000" w:themeColor="text1"/>
                <w:u w:val="single"/>
                <w:lang w:val="en-US" w:eastAsia="ko-KR"/>
              </w:rPr>
              <w:t>RedCap</w:t>
            </w:r>
            <w:proofErr w:type="spellEnd"/>
            <w:r w:rsidRPr="00100963">
              <w:rPr>
                <w:b/>
                <w:color w:val="000000" w:themeColor="text1"/>
                <w:u w:val="single"/>
                <w:lang w:val="en-US" w:eastAsia="ko-KR"/>
              </w:rPr>
              <w:t xml:space="preserve"> specific initial BWP </w:t>
            </w:r>
          </w:p>
          <w:p w14:paraId="442F30F9" w14:textId="77777777" w:rsidR="009C7656" w:rsidRPr="00100963" w:rsidRDefault="009C7656" w:rsidP="009C7656">
            <w:pPr>
              <w:rPr>
                <w:color w:val="000000" w:themeColor="text1"/>
                <w:lang w:val="en-US" w:eastAsia="ko-KR"/>
              </w:rPr>
            </w:pPr>
            <w:r w:rsidRPr="00100963">
              <w:rPr>
                <w:color w:val="000000" w:themeColor="text1"/>
                <w:lang w:val="en-US" w:eastAsia="ko-KR"/>
              </w:rPr>
              <w:t xml:space="preserve">When the Redcap specific initial BWP is configured for RA, extend RRC connection release with re-direction delay by X </w:t>
            </w:r>
            <w:proofErr w:type="spellStart"/>
            <w:r w:rsidRPr="00100963">
              <w:rPr>
                <w:color w:val="000000" w:themeColor="text1"/>
                <w:lang w:val="en-US" w:eastAsia="ko-KR"/>
              </w:rPr>
              <w:t>ms.</w:t>
            </w:r>
            <w:proofErr w:type="spellEnd"/>
          </w:p>
          <w:p w14:paraId="61768B62" w14:textId="77777777" w:rsidR="009C7656" w:rsidRPr="00100963" w:rsidRDefault="009C7656" w:rsidP="009C7656">
            <w:pPr>
              <w:pStyle w:val="ListParagraph"/>
              <w:numPr>
                <w:ilvl w:val="0"/>
                <w:numId w:val="43"/>
              </w:numPr>
              <w:spacing w:after="0" w:line="240" w:lineRule="auto"/>
              <w:ind w:left="2424"/>
              <w:rPr>
                <w:color w:val="000000" w:themeColor="text1"/>
                <w:lang w:eastAsia="ko-KR"/>
              </w:rPr>
            </w:pPr>
            <w:proofErr w:type="spellStart"/>
            <w:r w:rsidRPr="00100963">
              <w:rPr>
                <w:color w:val="000000" w:themeColor="text1"/>
                <w:lang w:eastAsia="ko-KR"/>
              </w:rPr>
              <w:t>T</w:t>
            </w:r>
            <w:r w:rsidRPr="00100963">
              <w:rPr>
                <w:color w:val="000000" w:themeColor="text1"/>
                <w:vertAlign w:val="subscript"/>
                <w:lang w:eastAsia="ko-KR"/>
              </w:rPr>
              <w:t>connection_release_redirect_NR</w:t>
            </w:r>
            <w:proofErr w:type="spellEnd"/>
            <w:r w:rsidRPr="00100963">
              <w:rPr>
                <w:color w:val="000000" w:themeColor="text1"/>
                <w:lang w:eastAsia="ko-KR"/>
              </w:rPr>
              <w:t xml:space="preserve"> = </w:t>
            </w:r>
            <w:proofErr w:type="spellStart"/>
            <w:r w:rsidRPr="00100963">
              <w:rPr>
                <w:color w:val="000000" w:themeColor="text1"/>
                <w:lang w:eastAsia="ko-KR"/>
              </w:rPr>
              <w:t>T</w:t>
            </w:r>
            <w:r w:rsidRPr="00100963">
              <w:rPr>
                <w:color w:val="000000" w:themeColor="text1"/>
                <w:vertAlign w:val="subscript"/>
                <w:lang w:eastAsia="ko-KR"/>
              </w:rPr>
              <w:t>RRC_procedure_delay</w:t>
            </w:r>
            <w:proofErr w:type="spellEnd"/>
            <w:r w:rsidRPr="00100963">
              <w:rPr>
                <w:color w:val="000000" w:themeColor="text1"/>
                <w:lang w:eastAsia="ko-KR"/>
              </w:rPr>
              <w:t xml:space="preserve"> + </w:t>
            </w:r>
            <w:proofErr w:type="spellStart"/>
            <w:r w:rsidRPr="00100963">
              <w:rPr>
                <w:color w:val="000000" w:themeColor="text1"/>
                <w:lang w:eastAsia="ko-KR"/>
              </w:rPr>
              <w:t>T</w:t>
            </w:r>
            <w:r w:rsidRPr="00100963">
              <w:rPr>
                <w:color w:val="000000" w:themeColor="text1"/>
                <w:vertAlign w:val="subscript"/>
                <w:lang w:eastAsia="ko-KR"/>
              </w:rPr>
              <w:t>identify</w:t>
            </w:r>
            <w:proofErr w:type="spellEnd"/>
            <w:r w:rsidRPr="00100963">
              <w:rPr>
                <w:color w:val="000000" w:themeColor="text1"/>
                <w:vertAlign w:val="subscript"/>
                <w:lang w:eastAsia="ko-KR"/>
              </w:rPr>
              <w:t>-NR</w:t>
            </w:r>
            <w:r w:rsidRPr="00100963">
              <w:rPr>
                <w:color w:val="000000" w:themeColor="text1"/>
                <w:lang w:eastAsia="ko-KR"/>
              </w:rPr>
              <w:t xml:space="preserve"> + T</w:t>
            </w:r>
            <w:r w:rsidRPr="00100963">
              <w:rPr>
                <w:color w:val="000000" w:themeColor="text1"/>
                <w:vertAlign w:val="subscript"/>
                <w:lang w:eastAsia="ko-KR"/>
              </w:rPr>
              <w:t>SI-NR</w:t>
            </w:r>
            <w:r w:rsidRPr="00100963">
              <w:rPr>
                <w:color w:val="000000" w:themeColor="text1"/>
                <w:lang w:eastAsia="ko-KR"/>
              </w:rPr>
              <w:t xml:space="preserve"> + T</w:t>
            </w:r>
            <w:r w:rsidRPr="00100963">
              <w:rPr>
                <w:color w:val="000000" w:themeColor="text1"/>
                <w:vertAlign w:val="subscript"/>
                <w:lang w:eastAsia="ko-KR"/>
              </w:rPr>
              <w:t>RACH</w:t>
            </w:r>
            <w:r w:rsidRPr="00100963">
              <w:rPr>
                <w:color w:val="000000" w:themeColor="text1"/>
                <w:lang w:eastAsia="ko-KR"/>
              </w:rPr>
              <w:t xml:space="preserve"> + X</w:t>
            </w:r>
          </w:p>
          <w:p w14:paraId="3B902DAD" w14:textId="62F487C9" w:rsidR="009C7656" w:rsidRPr="00EB1017" w:rsidRDefault="009C7656" w:rsidP="009C7656">
            <w:pPr>
              <w:pStyle w:val="ListParagraph"/>
              <w:numPr>
                <w:ilvl w:val="0"/>
                <w:numId w:val="43"/>
              </w:numPr>
              <w:spacing w:after="0" w:line="240" w:lineRule="auto"/>
              <w:ind w:left="2424"/>
              <w:rPr>
                <w:color w:val="000000" w:themeColor="text1"/>
                <w:lang w:val="en-US"/>
              </w:rPr>
            </w:pPr>
            <w:r w:rsidRPr="009C7656">
              <w:rPr>
                <w:color w:val="000000" w:themeColor="text1"/>
                <w:highlight w:val="yellow"/>
                <w:lang w:eastAsia="ko-KR"/>
              </w:rPr>
              <w:t>X = TBD</w:t>
            </w:r>
          </w:p>
        </w:tc>
      </w:tr>
    </w:tbl>
    <w:p w14:paraId="63E32C96" w14:textId="5B6D9CCA" w:rsidR="00934864" w:rsidRDefault="00934864" w:rsidP="00231A7E">
      <w:pPr>
        <w:rPr>
          <w:b/>
          <w:color w:val="000000" w:themeColor="text1"/>
          <w:u w:val="single"/>
          <w:lang w:val="en-US" w:eastAsia="ko-KR"/>
        </w:rPr>
      </w:pPr>
    </w:p>
    <w:p w14:paraId="1724E872" w14:textId="77777777" w:rsidR="00931C1B" w:rsidRDefault="00931C1B" w:rsidP="00231A7E">
      <w:pPr>
        <w:rPr>
          <w:b/>
          <w:color w:val="000000" w:themeColor="text1"/>
          <w:u w:val="single"/>
          <w:lang w:val="en-US" w:eastAsia="ko-KR"/>
        </w:rPr>
      </w:pPr>
    </w:p>
    <w:p w14:paraId="62DADE74" w14:textId="000F3EA7" w:rsidR="005F78D8" w:rsidRPr="00527C44" w:rsidRDefault="009A64E5" w:rsidP="00231A7E">
      <w:r w:rsidRPr="00527C44">
        <w:rPr>
          <w:b/>
          <w:color w:val="000000" w:themeColor="text1"/>
          <w:u w:val="single"/>
          <w:lang w:val="en-US" w:eastAsia="ko-KR"/>
        </w:rPr>
        <w:lastRenderedPageBreak/>
        <w:t>Requirements for HO to a BWP which has different SSB with the one used for measurement</w:t>
      </w:r>
    </w:p>
    <w:p w14:paraId="29BD2527" w14:textId="12ECF41A" w:rsidR="00BE1811" w:rsidRPr="00527C44" w:rsidRDefault="009A64E5" w:rsidP="002955A3">
      <w:pPr>
        <w:jc w:val="both"/>
        <w:rPr>
          <w:rFonts w:cstheme="minorHAnsi"/>
          <w:bCs/>
          <w:lang w:eastAsia="ko-KR"/>
        </w:rPr>
      </w:pPr>
      <w:r w:rsidRPr="00527C44">
        <w:rPr>
          <w:rFonts w:cstheme="minorHAnsi"/>
          <w:bCs/>
          <w:lang w:eastAsia="ko-KR"/>
        </w:rPr>
        <w:t xml:space="preserve">[NCD-SSB measured and reported beforehand]: In the </w:t>
      </w:r>
      <w:proofErr w:type="spellStart"/>
      <w:r w:rsidRPr="00527C44">
        <w:rPr>
          <w:rFonts w:cstheme="minorHAnsi"/>
          <w:bCs/>
          <w:lang w:eastAsia="ko-KR"/>
        </w:rPr>
        <w:t>RRCReconfiguration</w:t>
      </w:r>
      <w:proofErr w:type="spellEnd"/>
      <w:r w:rsidRPr="00527C44">
        <w:rPr>
          <w:rFonts w:cstheme="minorHAnsi"/>
          <w:bCs/>
          <w:lang w:eastAsia="ko-KR"/>
        </w:rPr>
        <w:t xml:space="preserve"> that triggers the HO the UE sees the target PCI as well as the ARFCNs of the CD-SSB (in the legacy field). However, as the BWP-</w:t>
      </w:r>
      <w:proofErr w:type="spellStart"/>
      <w:r w:rsidRPr="00527C44">
        <w:rPr>
          <w:rFonts w:cstheme="minorHAnsi"/>
          <w:bCs/>
          <w:lang w:eastAsia="ko-KR"/>
        </w:rPr>
        <w:t>DownlinkConfig</w:t>
      </w:r>
      <w:proofErr w:type="spellEnd"/>
      <w:r w:rsidRPr="00527C44">
        <w:rPr>
          <w:rFonts w:cstheme="minorHAnsi"/>
          <w:bCs/>
          <w:lang w:eastAsia="ko-KR"/>
        </w:rPr>
        <w:t xml:space="preserve"> is not within current CBW (it is not necessarily signalled) and hence the UE doesn’t have information about the ARFCN of the NCD-SSB. Therefore, the UE doesn’t know the NCD-SSB measured and reported previously is QCL-ed with CD-SSB of the same cell</w:t>
      </w:r>
      <w:r w:rsidR="005F78D8" w:rsidRPr="00527C44">
        <w:rPr>
          <w:rFonts w:cstheme="minorHAnsi"/>
          <w:bCs/>
          <w:lang w:eastAsia="ko-KR"/>
        </w:rPr>
        <w:t xml:space="preserve">. </w:t>
      </w:r>
      <w:r w:rsidR="00527C44" w:rsidRPr="00527C44">
        <w:rPr>
          <w:rFonts w:cstheme="minorHAnsi"/>
          <w:bCs/>
          <w:lang w:val="en-US" w:eastAsia="ko-KR"/>
        </w:rPr>
        <w:t xml:space="preserve">Although the UE is aware of the PCI of the NCD-SSB, however, how the UE could tell that a cell with PCI x on </w:t>
      </w:r>
      <w:r w:rsidR="00527C44" w:rsidRPr="00527C44">
        <w:rPr>
          <w:rFonts w:cstheme="minorHAnsi"/>
          <w:b/>
          <w:bCs/>
          <w:lang w:val="en-US" w:eastAsia="ko-KR"/>
        </w:rPr>
        <w:t>ARFCN 1</w:t>
      </w:r>
      <w:r w:rsidR="00527C44" w:rsidRPr="00527C44">
        <w:rPr>
          <w:rFonts w:cstheme="minorHAnsi"/>
          <w:bCs/>
          <w:lang w:val="en-US" w:eastAsia="ko-KR"/>
        </w:rPr>
        <w:t xml:space="preserve"> is the same as PCI x on </w:t>
      </w:r>
      <w:r w:rsidR="00527C44" w:rsidRPr="00527C44">
        <w:rPr>
          <w:rFonts w:cstheme="minorHAnsi"/>
          <w:b/>
          <w:bCs/>
          <w:lang w:val="en-US" w:eastAsia="ko-KR"/>
        </w:rPr>
        <w:t>ARFCN 2</w:t>
      </w:r>
      <w:r w:rsidR="002251F5">
        <w:rPr>
          <w:rFonts w:cstheme="minorHAnsi"/>
          <w:b/>
          <w:bCs/>
          <w:lang w:val="en-US" w:eastAsia="ko-KR"/>
        </w:rPr>
        <w:t xml:space="preserve"> </w:t>
      </w:r>
      <w:r w:rsidR="002251F5" w:rsidRPr="002251F5">
        <w:rPr>
          <w:rFonts w:cstheme="minorHAnsi"/>
          <w:lang w:val="en-US" w:eastAsia="ko-KR"/>
        </w:rPr>
        <w:t>(i.e., differentiating between case (a) and case (b))</w:t>
      </w:r>
      <w:r w:rsidR="00527C44" w:rsidRPr="00527C44">
        <w:rPr>
          <w:rFonts w:cstheme="minorHAnsi"/>
          <w:bCs/>
          <w:lang w:val="en-US" w:eastAsia="ko-KR"/>
        </w:rPr>
        <w:t>? In other word, the frequency layer information is missing at the UE side and hence, the UE cannot tell whether the measured NCD-SSB is of the same cell as the CD-SSB used for HO or not.</w:t>
      </w:r>
    </w:p>
    <w:p w14:paraId="0D1D81AC" w14:textId="52626E2E" w:rsidR="00527C44" w:rsidRDefault="00527C44" w:rsidP="002955A3">
      <w:pPr>
        <w:jc w:val="both"/>
        <w:rPr>
          <w:rFonts w:cstheme="minorHAnsi"/>
          <w:bCs/>
          <w:highlight w:val="yellow"/>
          <w:lang w:eastAsia="ko-KR"/>
        </w:rPr>
      </w:pPr>
      <w:r>
        <w:rPr>
          <w:rFonts w:cstheme="minorHAnsi"/>
          <w:bCs/>
          <w:noProof/>
          <w:lang w:eastAsia="ko-KR"/>
        </w:rPr>
        <w:drawing>
          <wp:inline distT="0" distB="0" distL="0" distR="0" wp14:anchorId="2529C20A" wp14:editId="637055F7">
            <wp:extent cx="6120765" cy="2683510"/>
            <wp:effectExtent l="0" t="0" r="0" b="254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2683510"/>
                    </a:xfrm>
                    <a:prstGeom prst="rect">
                      <a:avLst/>
                    </a:prstGeom>
                  </pic:spPr>
                </pic:pic>
              </a:graphicData>
            </a:graphic>
          </wp:inline>
        </w:drawing>
      </w:r>
    </w:p>
    <w:p w14:paraId="18F58398" w14:textId="339EC5C2" w:rsidR="00527C44" w:rsidRPr="009D4B1C" w:rsidRDefault="00527C44" w:rsidP="00C3373D">
      <w:pPr>
        <w:jc w:val="center"/>
        <w:rPr>
          <w:rFonts w:cstheme="minorHAnsi"/>
          <w:bCs/>
          <w:highlight w:val="yellow"/>
          <w:lang w:eastAsia="ko-KR"/>
        </w:rPr>
      </w:pPr>
      <w:bookmarkStart w:id="1" w:name="_Ref47527660"/>
      <w:r w:rsidRPr="00D34B64">
        <w:t xml:space="preserve">Figure </w:t>
      </w:r>
      <w:fldSimple w:instr=" SEQ Figure \* ARABIC ">
        <w:r w:rsidR="00001FA3">
          <w:rPr>
            <w:noProof/>
          </w:rPr>
          <w:t>1</w:t>
        </w:r>
      </w:fldSimple>
      <w:bookmarkEnd w:id="1"/>
      <w:r w:rsidRPr="00D34B64">
        <w:t xml:space="preserve">: </w:t>
      </w:r>
      <w:r>
        <w:t xml:space="preserve">HO to unknown cell. Case (a) depicts that </w:t>
      </w:r>
      <w:r w:rsidR="007A69A6">
        <w:t>the measured NCD-SSB is within the same cell as the target CD-SSB, while Case (b) depicts that the measured NCD-SSB is on a different cell in comparison to the target cell, yet they both have the same PCI.</w:t>
      </w:r>
    </w:p>
    <w:p w14:paraId="3E82CD29" w14:textId="12591F37" w:rsidR="00F12F6C" w:rsidRPr="00934864" w:rsidRDefault="005F78D8" w:rsidP="00B07420">
      <w:pPr>
        <w:pStyle w:val="ListParagraph"/>
        <w:numPr>
          <w:ilvl w:val="0"/>
          <w:numId w:val="34"/>
        </w:numPr>
        <w:jc w:val="both"/>
        <w:rPr>
          <w:rFonts w:cstheme="minorHAnsi"/>
          <w:b/>
          <w:bCs/>
          <w:iCs/>
          <w:lang w:eastAsia="ko-KR"/>
        </w:rPr>
      </w:pPr>
      <w:bookmarkStart w:id="2" w:name="_Ref95561395"/>
      <w:r w:rsidRPr="007A69A6">
        <w:rPr>
          <w:rFonts w:cstheme="minorHAnsi"/>
          <w:b/>
          <w:lang w:eastAsia="ko-KR"/>
        </w:rPr>
        <w:t>RAN4</w:t>
      </w:r>
      <w:r w:rsidR="007A69A6" w:rsidRPr="007A69A6">
        <w:rPr>
          <w:rFonts w:cstheme="minorHAnsi"/>
          <w:b/>
          <w:lang w:eastAsia="ko-KR"/>
        </w:rPr>
        <w:t xml:space="preserve"> shall define the unknown cell HO requirements for the scenario of HO to a BWP which has different SSB with the one used for </w:t>
      </w:r>
      <w:bookmarkEnd w:id="2"/>
      <w:r w:rsidR="007A69A6" w:rsidRPr="007A69A6">
        <w:rPr>
          <w:rFonts w:cstheme="minorHAnsi"/>
          <w:b/>
          <w:lang w:eastAsia="ko-KR"/>
        </w:rPr>
        <w:t>measurement.</w:t>
      </w:r>
    </w:p>
    <w:p w14:paraId="15EDD03A" w14:textId="751723D4" w:rsidR="00A7450F" w:rsidRPr="00F76177" w:rsidRDefault="009C7656" w:rsidP="00B07420">
      <w:pPr>
        <w:jc w:val="both"/>
        <w:rPr>
          <w:rFonts w:cstheme="minorHAnsi"/>
          <w:b/>
          <w:iCs/>
          <w:u w:val="single"/>
          <w:lang w:eastAsia="ko-KR"/>
        </w:rPr>
      </w:pPr>
      <w:r w:rsidRPr="00F76177">
        <w:rPr>
          <w:b/>
          <w:color w:val="000000" w:themeColor="text1"/>
          <w:u w:val="single"/>
          <w:lang w:val="en-US" w:eastAsia="ko-KR"/>
        </w:rPr>
        <w:t xml:space="preserve">RRC reestablishment/connection release with redirection delay with </w:t>
      </w:r>
      <w:proofErr w:type="spellStart"/>
      <w:r w:rsidRPr="00F76177">
        <w:rPr>
          <w:b/>
          <w:color w:val="000000" w:themeColor="text1"/>
          <w:u w:val="single"/>
          <w:lang w:val="en-US" w:eastAsia="ko-KR"/>
        </w:rPr>
        <w:t>RedCap</w:t>
      </w:r>
      <w:proofErr w:type="spellEnd"/>
      <w:r w:rsidRPr="00F76177">
        <w:rPr>
          <w:b/>
          <w:color w:val="000000" w:themeColor="text1"/>
          <w:u w:val="single"/>
          <w:lang w:val="en-US" w:eastAsia="ko-KR"/>
        </w:rPr>
        <w:t xml:space="preserve"> specific initial BWP</w:t>
      </w:r>
      <w:r w:rsidR="00A7450F" w:rsidRPr="00F76177">
        <w:rPr>
          <w:rFonts w:cstheme="minorHAnsi"/>
          <w:b/>
          <w:iCs/>
          <w:u w:val="single"/>
          <w:lang w:eastAsia="ko-KR"/>
        </w:rPr>
        <w:t>:</w:t>
      </w:r>
    </w:p>
    <w:p w14:paraId="3B7C37F7" w14:textId="5500A01D" w:rsidR="007A405F" w:rsidRPr="008C213E" w:rsidRDefault="00F76177" w:rsidP="00B07420">
      <w:pPr>
        <w:jc w:val="both"/>
        <w:rPr>
          <w:lang w:val="en-US"/>
        </w:rPr>
      </w:pPr>
      <w:r w:rsidRPr="008C213E">
        <w:rPr>
          <w:rFonts w:cstheme="minorHAnsi"/>
          <w:bCs/>
          <w:iCs/>
          <w:lang w:eastAsia="ko-KR"/>
        </w:rPr>
        <w:t>I</w:t>
      </w:r>
      <w:r w:rsidR="0050640F" w:rsidRPr="008C213E">
        <w:rPr>
          <w:rFonts w:cstheme="minorHAnsi"/>
          <w:bCs/>
          <w:iCs/>
          <w:lang w:eastAsia="ko-KR"/>
        </w:rPr>
        <w:t>n</w:t>
      </w:r>
      <w:r w:rsidRPr="008C213E">
        <w:rPr>
          <w:rFonts w:cstheme="minorHAnsi"/>
          <w:bCs/>
          <w:iCs/>
          <w:lang w:eastAsia="ko-KR"/>
        </w:rPr>
        <w:t xml:space="preserve"> our view, RAN4 can reuse the delay requirements from DCI BWP switching delay, which is </w:t>
      </w:r>
      <w:r w:rsidR="0050640F" w:rsidRPr="008C213E">
        <w:rPr>
          <w:rFonts w:cstheme="minorHAnsi"/>
          <w:bCs/>
          <w:iCs/>
          <w:lang w:eastAsia="ko-KR"/>
        </w:rPr>
        <w:t>3</w:t>
      </w:r>
      <w:r w:rsidRPr="008C213E">
        <w:rPr>
          <w:rFonts w:cstheme="minorHAnsi"/>
          <w:bCs/>
          <w:iCs/>
          <w:lang w:eastAsia="ko-KR"/>
        </w:rPr>
        <w:t>ms</w:t>
      </w:r>
      <w:r w:rsidR="004978B2" w:rsidRPr="008C213E">
        <w:rPr>
          <w:lang w:val="en-US"/>
        </w:rPr>
        <w:t>.</w:t>
      </w:r>
    </w:p>
    <w:p w14:paraId="3D91F4FF" w14:textId="4EDE44B2" w:rsidR="00B526A7" w:rsidRPr="008C213E" w:rsidRDefault="00E91FC3" w:rsidP="00B526A7">
      <w:pPr>
        <w:pStyle w:val="ListParagraph"/>
        <w:numPr>
          <w:ilvl w:val="0"/>
          <w:numId w:val="34"/>
        </w:numPr>
        <w:jc w:val="both"/>
        <w:rPr>
          <w:rFonts w:cstheme="minorHAnsi"/>
          <w:b/>
          <w:bCs/>
          <w:iCs/>
          <w:lang w:eastAsia="ko-KR"/>
        </w:rPr>
      </w:pPr>
      <w:bookmarkStart w:id="3" w:name="_Ref110604729"/>
      <w:r w:rsidRPr="008C213E">
        <w:rPr>
          <w:rFonts w:cstheme="minorHAnsi"/>
          <w:b/>
          <w:lang w:eastAsia="ko-KR"/>
        </w:rPr>
        <w:t>RAN shall extend the RRC re-establishment and connection release with redirection by 3ms</w:t>
      </w:r>
      <w:r w:rsidR="004978B2" w:rsidRPr="008C213E">
        <w:rPr>
          <w:rFonts w:cstheme="minorHAnsi"/>
          <w:b/>
          <w:lang w:eastAsia="ko-KR"/>
        </w:rPr>
        <w:t>.</w:t>
      </w:r>
      <w:bookmarkEnd w:id="3"/>
      <w:r w:rsidR="004978B2" w:rsidRPr="008C213E">
        <w:rPr>
          <w:rFonts w:cstheme="minorHAnsi"/>
          <w:b/>
          <w:lang w:eastAsia="ko-KR"/>
        </w:rPr>
        <w:t xml:space="preserve"> </w:t>
      </w:r>
    </w:p>
    <w:p w14:paraId="6D205296" w14:textId="6CF5978D"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0C0D2441" w14:textId="4D3F0D57" w:rsidR="00D34B64" w:rsidRDefault="00D34B64" w:rsidP="00BB3B06">
      <w:pPr>
        <w:jc w:val="both"/>
      </w:pPr>
      <w:r>
        <w:t xml:space="preserve">In this </w:t>
      </w:r>
      <w:r w:rsidR="00DB0F9C">
        <w:t xml:space="preserve">contribution, discussion on </w:t>
      </w:r>
      <w:r w:rsidR="006F71BC">
        <w:t>mobility requirements</w:t>
      </w:r>
      <w:r w:rsidR="00DB0F9C">
        <w:t xml:space="preserve"> </w:t>
      </w:r>
      <w:r w:rsidR="009F06A4">
        <w:t xml:space="preserve">in </w:t>
      </w:r>
      <w:proofErr w:type="spellStart"/>
      <w:r w:rsidR="009F06A4">
        <w:t>RedCap</w:t>
      </w:r>
      <w:proofErr w:type="spellEnd"/>
      <w:r w:rsidR="009F06A4">
        <w:t xml:space="preserve"> UEs</w:t>
      </w:r>
      <w:r w:rsidR="00135EEB">
        <w:t xml:space="preserve"> are provided and we have the following </w:t>
      </w:r>
      <w:r w:rsidR="006F71BC">
        <w:t>proposal</w:t>
      </w:r>
      <w:r w:rsidR="00621F43">
        <w:t>s</w:t>
      </w:r>
      <w:r w:rsidR="00135EEB">
        <w:t xml:space="preserve">: </w:t>
      </w:r>
    </w:p>
    <w:p w14:paraId="4258E1FE" w14:textId="50B0DC0A" w:rsidR="002955A3" w:rsidRDefault="00C0225B" w:rsidP="00BB3B06">
      <w:pPr>
        <w:jc w:val="both"/>
        <w:rPr>
          <w:b/>
          <w:bCs/>
        </w:rPr>
      </w:pPr>
      <w:r w:rsidRPr="00A5286E">
        <w:rPr>
          <w:b/>
          <w:bCs/>
        </w:rPr>
        <w:fldChar w:fldCharType="begin"/>
      </w:r>
      <w:r w:rsidRPr="00A5286E">
        <w:rPr>
          <w:b/>
          <w:bCs/>
        </w:rPr>
        <w:instrText xml:space="preserve"> REF _Ref95561395 \r \h  \* MERGEFORMAT </w:instrText>
      </w:r>
      <w:r w:rsidRPr="00A5286E">
        <w:rPr>
          <w:b/>
          <w:bCs/>
        </w:rPr>
      </w:r>
      <w:r w:rsidRPr="00A5286E">
        <w:rPr>
          <w:b/>
          <w:bCs/>
        </w:rPr>
        <w:fldChar w:fldCharType="separate"/>
      </w:r>
      <w:r w:rsidR="00001FA3">
        <w:rPr>
          <w:b/>
          <w:bCs/>
        </w:rPr>
        <w:t>Proposal 1:</w:t>
      </w:r>
      <w:r w:rsidRPr="00A5286E">
        <w:rPr>
          <w:b/>
          <w:bCs/>
        </w:rPr>
        <w:fldChar w:fldCharType="end"/>
      </w:r>
      <w:r w:rsidRPr="00A5286E">
        <w:rPr>
          <w:b/>
          <w:bCs/>
        </w:rPr>
        <w:t xml:space="preserve"> </w:t>
      </w:r>
      <w:r w:rsidRPr="00A5286E">
        <w:rPr>
          <w:b/>
          <w:bCs/>
        </w:rPr>
        <w:fldChar w:fldCharType="begin"/>
      </w:r>
      <w:r w:rsidRPr="00A5286E">
        <w:rPr>
          <w:b/>
          <w:bCs/>
        </w:rPr>
        <w:instrText xml:space="preserve"> REF _Ref95561395 \h </w:instrText>
      </w:r>
      <w:r w:rsidR="00A5286E" w:rsidRPr="00A5286E">
        <w:rPr>
          <w:b/>
          <w:bCs/>
        </w:rPr>
        <w:instrText xml:space="preserve"> \* MERGEFORMAT </w:instrText>
      </w:r>
      <w:r w:rsidRPr="00A5286E">
        <w:rPr>
          <w:b/>
          <w:bCs/>
        </w:rPr>
      </w:r>
      <w:r w:rsidRPr="00A5286E">
        <w:rPr>
          <w:b/>
          <w:bCs/>
        </w:rPr>
        <w:fldChar w:fldCharType="separate"/>
      </w:r>
      <w:r w:rsidR="00001FA3" w:rsidRPr="00001FA3">
        <w:rPr>
          <w:rFonts w:cstheme="minorHAnsi"/>
          <w:b/>
          <w:bCs/>
          <w:lang w:eastAsia="ko-KR"/>
        </w:rPr>
        <w:t xml:space="preserve">RAN4 shall define the </w:t>
      </w:r>
      <w:r w:rsidR="00001FA3" w:rsidRPr="00001FA3">
        <w:rPr>
          <w:rFonts w:eastAsia="Yu Mincho"/>
          <w:b/>
          <w:bCs/>
          <w:iCs/>
          <w:color w:val="000000" w:themeColor="text1"/>
        </w:rPr>
        <w:t>unknown cell</w:t>
      </w:r>
      <w:r w:rsidR="00001FA3" w:rsidRPr="00001FA3">
        <w:rPr>
          <w:b/>
          <w:bCs/>
          <w:iCs/>
          <w:color w:val="000000" w:themeColor="text1"/>
        </w:rPr>
        <w:t xml:space="preserve"> HO</w:t>
      </w:r>
      <w:r w:rsidR="00001FA3" w:rsidRPr="00001FA3">
        <w:rPr>
          <w:b/>
          <w:bCs/>
          <w:iCs/>
          <w:color w:val="000000" w:themeColor="text1"/>
          <w:vertAlign w:val="subscript"/>
        </w:rPr>
        <w:t xml:space="preserve"> </w:t>
      </w:r>
      <w:r w:rsidR="00001FA3" w:rsidRPr="00001FA3">
        <w:rPr>
          <w:b/>
          <w:bCs/>
          <w:iCs/>
          <w:color w:val="000000" w:themeColor="text1"/>
        </w:rPr>
        <w:t>requirements for the</w:t>
      </w:r>
      <w:r w:rsidR="00001FA3" w:rsidRPr="00001FA3">
        <w:rPr>
          <w:rFonts w:cstheme="minorHAnsi"/>
          <w:b/>
          <w:bCs/>
          <w:lang w:eastAsia="ko-KR"/>
        </w:rPr>
        <w:t xml:space="preserve"> scenario </w:t>
      </w:r>
      <w:r w:rsidR="00001FA3" w:rsidRPr="00001FA3">
        <w:rPr>
          <w:rFonts w:eastAsia="Yu Mincho"/>
          <w:b/>
          <w:bCs/>
          <w:iCs/>
          <w:color w:val="000000" w:themeColor="text1"/>
        </w:rPr>
        <w:t>of HO to</w:t>
      </w:r>
      <w:r w:rsidR="00001FA3" w:rsidRPr="00001FA3">
        <w:rPr>
          <w:b/>
          <w:bCs/>
          <w:iCs/>
          <w:color w:val="000000" w:themeColor="text1"/>
        </w:rPr>
        <w:t xml:space="preserve"> </w:t>
      </w:r>
      <w:r w:rsidR="00001FA3" w:rsidRPr="007A69A6">
        <w:rPr>
          <w:rFonts w:cstheme="minorHAnsi"/>
          <w:b/>
          <w:lang w:eastAsia="ko-KR"/>
        </w:rPr>
        <w:t xml:space="preserve">a BWP which has different SSB with the one used for </w:t>
      </w:r>
      <w:r w:rsidRPr="00A5286E">
        <w:rPr>
          <w:b/>
          <w:bCs/>
        </w:rPr>
        <w:fldChar w:fldCharType="end"/>
      </w:r>
    </w:p>
    <w:p w14:paraId="294B400B" w14:textId="6BCB4477" w:rsidR="00621F43" w:rsidRDefault="00D96FD9" w:rsidP="00BB3B06">
      <w:pPr>
        <w:jc w:val="both"/>
        <w:rPr>
          <w:b/>
          <w:bCs/>
        </w:rPr>
      </w:pPr>
      <w:r>
        <w:rPr>
          <w:b/>
          <w:bCs/>
        </w:rPr>
        <w:fldChar w:fldCharType="begin"/>
      </w:r>
      <w:r>
        <w:rPr>
          <w:b/>
          <w:bCs/>
        </w:rPr>
        <w:instrText xml:space="preserve"> REF _Ref110604729 \r \h </w:instrText>
      </w:r>
      <w:r>
        <w:rPr>
          <w:b/>
          <w:bCs/>
        </w:rPr>
      </w:r>
      <w:r>
        <w:rPr>
          <w:b/>
          <w:bCs/>
        </w:rPr>
        <w:fldChar w:fldCharType="separate"/>
      </w:r>
      <w:r w:rsidR="00001FA3">
        <w:rPr>
          <w:b/>
          <w:bCs/>
        </w:rPr>
        <w:t>Proposal 2:</w:t>
      </w:r>
      <w:r>
        <w:rPr>
          <w:b/>
          <w:bCs/>
        </w:rPr>
        <w:fldChar w:fldCharType="end"/>
      </w:r>
      <w:r>
        <w:rPr>
          <w:b/>
          <w:bCs/>
        </w:rPr>
        <w:t xml:space="preserve"> </w:t>
      </w:r>
      <w:r>
        <w:rPr>
          <w:b/>
          <w:bCs/>
        </w:rPr>
        <w:fldChar w:fldCharType="begin"/>
      </w:r>
      <w:r>
        <w:rPr>
          <w:b/>
          <w:bCs/>
        </w:rPr>
        <w:instrText xml:space="preserve"> REF _Ref110604729 \h </w:instrText>
      </w:r>
      <w:r>
        <w:rPr>
          <w:b/>
          <w:bCs/>
        </w:rPr>
      </w:r>
      <w:r>
        <w:rPr>
          <w:b/>
          <w:bCs/>
        </w:rPr>
        <w:fldChar w:fldCharType="separate"/>
      </w:r>
      <w:r w:rsidR="00001FA3" w:rsidRPr="008C213E">
        <w:rPr>
          <w:rFonts w:cstheme="minorHAnsi"/>
          <w:b/>
          <w:lang w:eastAsia="ko-KR"/>
        </w:rPr>
        <w:t>RAN shall extend the RRC re-establishment and connection release with redirection by 3ms.</w:t>
      </w:r>
      <w:r>
        <w:rPr>
          <w:b/>
          <w:bCs/>
        </w:rPr>
        <w:fldChar w:fldCharType="end"/>
      </w:r>
    </w:p>
    <w:p w14:paraId="2F49CF36" w14:textId="77777777"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14:paraId="767B7222" w14:textId="26A669A0" w:rsidR="007A405F" w:rsidRPr="00630AB4" w:rsidRDefault="0035098A" w:rsidP="00630AB4">
      <w:pPr>
        <w:pStyle w:val="ListParagraph"/>
        <w:numPr>
          <w:ilvl w:val="0"/>
          <w:numId w:val="15"/>
        </w:numPr>
        <w:jc w:val="both"/>
        <w:rPr>
          <w:rFonts w:cstheme="minorHAnsi"/>
          <w:color w:val="000000"/>
        </w:rPr>
      </w:pPr>
      <w:bookmarkStart w:id="4" w:name="_Ref85725581"/>
      <w:bookmarkStart w:id="5" w:name="_Ref71639227"/>
      <w:bookmarkStart w:id="6" w:name="_Ref85650672"/>
      <w:r>
        <w:rPr>
          <w:rFonts w:cstheme="minorHAnsi"/>
        </w:rPr>
        <w:t>R</w:t>
      </w:r>
      <w:r w:rsidR="00552CB5">
        <w:rPr>
          <w:rFonts w:cstheme="minorHAnsi"/>
        </w:rPr>
        <w:t>4-</w:t>
      </w:r>
      <w:r w:rsidR="002055B5" w:rsidRPr="002055B5">
        <w:rPr>
          <w:rFonts w:cstheme="minorHAnsi"/>
          <w:bCs/>
        </w:rPr>
        <w:t>2217214</w:t>
      </w:r>
      <w:r w:rsidRPr="00D34B64">
        <w:rPr>
          <w:rFonts w:cstheme="minorHAnsi"/>
        </w:rPr>
        <w:t>, “</w:t>
      </w:r>
      <w:r w:rsidR="002955A3" w:rsidRPr="002955A3">
        <w:rPr>
          <w:rFonts w:cstheme="minorHAnsi"/>
        </w:rPr>
        <w:t xml:space="preserve">WF on </w:t>
      </w:r>
      <w:proofErr w:type="spellStart"/>
      <w:r w:rsidR="002955A3" w:rsidRPr="002955A3">
        <w:rPr>
          <w:rFonts w:cstheme="minorHAnsi"/>
        </w:rPr>
        <w:t>RedCap</w:t>
      </w:r>
      <w:proofErr w:type="spellEnd"/>
      <w:r w:rsidR="002955A3" w:rsidRPr="002955A3">
        <w:rPr>
          <w:rFonts w:cstheme="minorHAnsi"/>
        </w:rPr>
        <w:t xml:space="preserve"> RRM requirements</w:t>
      </w:r>
      <w:r>
        <w:rPr>
          <w:rFonts w:cstheme="minorHAnsi"/>
        </w:rPr>
        <w:t>”</w:t>
      </w:r>
      <w:r w:rsidR="002955A3">
        <w:rPr>
          <w:rFonts w:cstheme="minorHAnsi"/>
        </w:rPr>
        <w:t>, Ericsson</w:t>
      </w:r>
      <w:r w:rsidR="00630AB4">
        <w:rPr>
          <w:rFonts w:cstheme="minorHAnsi"/>
        </w:rPr>
        <w:t xml:space="preserve">, </w:t>
      </w:r>
      <w:r w:rsidR="002055B5">
        <w:rPr>
          <w:rFonts w:cstheme="minorHAnsi"/>
        </w:rPr>
        <w:t>October</w:t>
      </w:r>
      <w:r w:rsidR="00630AB4">
        <w:rPr>
          <w:rFonts w:cstheme="minorHAnsi"/>
        </w:rPr>
        <w:t xml:space="preserve"> 2022</w:t>
      </w:r>
      <w:r>
        <w:rPr>
          <w:rFonts w:cstheme="minorHAnsi"/>
        </w:rPr>
        <w:t>.</w:t>
      </w:r>
      <w:bookmarkEnd w:id="4"/>
      <w:bookmarkEnd w:id="5"/>
      <w:bookmarkEnd w:id="6"/>
    </w:p>
    <w:sectPr w:rsidR="007A405F" w:rsidRPr="00630AB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2D21D" w14:textId="77777777" w:rsidR="00602F1F" w:rsidRDefault="00602F1F">
      <w:r>
        <w:separator/>
      </w:r>
    </w:p>
  </w:endnote>
  <w:endnote w:type="continuationSeparator" w:id="0">
    <w:p w14:paraId="2EFA5C7C" w14:textId="77777777" w:rsidR="00602F1F" w:rsidRDefault="00602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9FDE0" w14:textId="77777777" w:rsidR="00602F1F" w:rsidRDefault="00602F1F">
      <w:r>
        <w:separator/>
      </w:r>
    </w:p>
  </w:footnote>
  <w:footnote w:type="continuationSeparator" w:id="0">
    <w:p w14:paraId="3B8C40A9" w14:textId="77777777" w:rsidR="00602F1F" w:rsidRDefault="00602F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9C0260"/>
    <w:multiLevelType w:val="hybridMultilevel"/>
    <w:tmpl w:val="7AEAF8EA"/>
    <w:lvl w:ilvl="0" w:tplc="BB08AEA4">
      <w:start w:val="1"/>
      <w:numFmt w:val="bullet"/>
      <w:lvlText w:val="•"/>
      <w:lvlJc w:val="left"/>
      <w:pPr>
        <w:tabs>
          <w:tab w:val="num" w:pos="720"/>
        </w:tabs>
        <w:ind w:left="720" w:hanging="360"/>
      </w:pPr>
      <w:rPr>
        <w:rFonts w:ascii="Arial" w:hAnsi="Arial" w:hint="default"/>
      </w:rPr>
    </w:lvl>
    <w:lvl w:ilvl="1" w:tplc="37949BB8">
      <w:numFmt w:val="bullet"/>
      <w:lvlText w:val="•"/>
      <w:lvlJc w:val="left"/>
      <w:pPr>
        <w:tabs>
          <w:tab w:val="num" w:pos="1440"/>
        </w:tabs>
        <w:ind w:left="1440" w:hanging="360"/>
      </w:pPr>
      <w:rPr>
        <w:rFonts w:ascii="Arial" w:hAnsi="Arial" w:hint="default"/>
      </w:rPr>
    </w:lvl>
    <w:lvl w:ilvl="2" w:tplc="813A2188">
      <w:start w:val="1"/>
      <w:numFmt w:val="bullet"/>
      <w:lvlText w:val="•"/>
      <w:lvlJc w:val="left"/>
      <w:pPr>
        <w:tabs>
          <w:tab w:val="num" w:pos="2160"/>
        </w:tabs>
        <w:ind w:left="2160" w:hanging="360"/>
      </w:pPr>
      <w:rPr>
        <w:rFonts w:ascii="Arial" w:hAnsi="Arial" w:hint="default"/>
      </w:rPr>
    </w:lvl>
    <w:lvl w:ilvl="3" w:tplc="B142A624" w:tentative="1">
      <w:start w:val="1"/>
      <w:numFmt w:val="bullet"/>
      <w:lvlText w:val="•"/>
      <w:lvlJc w:val="left"/>
      <w:pPr>
        <w:tabs>
          <w:tab w:val="num" w:pos="2880"/>
        </w:tabs>
        <w:ind w:left="2880" w:hanging="360"/>
      </w:pPr>
      <w:rPr>
        <w:rFonts w:ascii="Arial" w:hAnsi="Arial" w:hint="default"/>
      </w:rPr>
    </w:lvl>
    <w:lvl w:ilvl="4" w:tplc="1B8AD944" w:tentative="1">
      <w:start w:val="1"/>
      <w:numFmt w:val="bullet"/>
      <w:lvlText w:val="•"/>
      <w:lvlJc w:val="left"/>
      <w:pPr>
        <w:tabs>
          <w:tab w:val="num" w:pos="3600"/>
        </w:tabs>
        <w:ind w:left="3600" w:hanging="360"/>
      </w:pPr>
      <w:rPr>
        <w:rFonts w:ascii="Arial" w:hAnsi="Arial" w:hint="default"/>
      </w:rPr>
    </w:lvl>
    <w:lvl w:ilvl="5" w:tplc="7E46C420" w:tentative="1">
      <w:start w:val="1"/>
      <w:numFmt w:val="bullet"/>
      <w:lvlText w:val="•"/>
      <w:lvlJc w:val="left"/>
      <w:pPr>
        <w:tabs>
          <w:tab w:val="num" w:pos="4320"/>
        </w:tabs>
        <w:ind w:left="4320" w:hanging="360"/>
      </w:pPr>
      <w:rPr>
        <w:rFonts w:ascii="Arial" w:hAnsi="Arial" w:hint="default"/>
      </w:rPr>
    </w:lvl>
    <w:lvl w:ilvl="6" w:tplc="728016E6" w:tentative="1">
      <w:start w:val="1"/>
      <w:numFmt w:val="bullet"/>
      <w:lvlText w:val="•"/>
      <w:lvlJc w:val="left"/>
      <w:pPr>
        <w:tabs>
          <w:tab w:val="num" w:pos="5040"/>
        </w:tabs>
        <w:ind w:left="5040" w:hanging="360"/>
      </w:pPr>
      <w:rPr>
        <w:rFonts w:ascii="Arial" w:hAnsi="Arial" w:hint="default"/>
      </w:rPr>
    </w:lvl>
    <w:lvl w:ilvl="7" w:tplc="D936940E" w:tentative="1">
      <w:start w:val="1"/>
      <w:numFmt w:val="bullet"/>
      <w:lvlText w:val="•"/>
      <w:lvlJc w:val="left"/>
      <w:pPr>
        <w:tabs>
          <w:tab w:val="num" w:pos="5760"/>
        </w:tabs>
        <w:ind w:left="5760" w:hanging="360"/>
      </w:pPr>
      <w:rPr>
        <w:rFonts w:ascii="Arial" w:hAnsi="Arial" w:hint="default"/>
      </w:rPr>
    </w:lvl>
    <w:lvl w:ilvl="8" w:tplc="45CAAFD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FEB43E5"/>
    <w:multiLevelType w:val="multilevel"/>
    <w:tmpl w:val="1FEB4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7"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905E4C"/>
    <w:multiLevelType w:val="hybridMultilevel"/>
    <w:tmpl w:val="CE4C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690579"/>
    <w:multiLevelType w:val="multilevel"/>
    <w:tmpl w:val="97980FD4"/>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asciiTheme="majorHAnsi" w:hAnsiTheme="majorHAnsi" w:cstheme="majorHAnsi" w:hint="default"/>
        <w:i/>
        <w:iCs/>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4A50ACE"/>
    <w:multiLevelType w:val="multilevel"/>
    <w:tmpl w:val="68F2A118"/>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CE20A6E"/>
    <w:multiLevelType w:val="multilevel"/>
    <w:tmpl w:val="A38CA748"/>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28E2ED4"/>
    <w:multiLevelType w:val="hybridMultilevel"/>
    <w:tmpl w:val="8DC40622"/>
    <w:lvl w:ilvl="0" w:tplc="FA3202F2">
      <w:start w:val="1"/>
      <w:numFmt w:val="decimal"/>
      <w:lvlText w:val="Proposal %1:"/>
      <w:lvlJc w:val="left"/>
      <w:pPr>
        <w:ind w:left="36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7267C66"/>
    <w:multiLevelType w:val="multilevel"/>
    <w:tmpl w:val="6F8CB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7" w15:restartNumberingAfterBreak="0">
    <w:nsid w:val="742164E7"/>
    <w:multiLevelType w:val="multilevel"/>
    <w:tmpl w:val="6E7AC4AE"/>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40"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18"/>
  </w:num>
  <w:num w:numId="3">
    <w:abstractNumId w:val="3"/>
  </w:num>
  <w:num w:numId="4">
    <w:abstractNumId w:val="38"/>
  </w:num>
  <w:num w:numId="5">
    <w:abstractNumId w:val="5"/>
  </w:num>
  <w:num w:numId="6">
    <w:abstractNumId w:val="13"/>
  </w:num>
  <w:num w:numId="7">
    <w:abstractNumId w:val="6"/>
  </w:num>
  <w:num w:numId="8">
    <w:abstractNumId w:val="7"/>
  </w:num>
  <w:num w:numId="9">
    <w:abstractNumId w:val="14"/>
  </w:num>
  <w:num w:numId="10">
    <w:abstractNumId w:val="31"/>
  </w:num>
  <w:num w:numId="11">
    <w:abstractNumId w:val="34"/>
  </w:num>
  <w:num w:numId="12">
    <w:abstractNumId w:val="21"/>
  </w:num>
  <w:num w:numId="13">
    <w:abstractNumId w:val="25"/>
  </w:num>
  <w:num w:numId="14">
    <w:abstractNumId w:val="33"/>
  </w:num>
  <w:num w:numId="15">
    <w:abstractNumId w:val="30"/>
  </w:num>
  <w:num w:numId="16">
    <w:abstractNumId w:val="16"/>
  </w:num>
  <w:num w:numId="17">
    <w:abstractNumId w:val="27"/>
  </w:num>
  <w:num w:numId="18">
    <w:abstractNumId w:val="1"/>
  </w:num>
  <w:num w:numId="19">
    <w:abstractNumId w:val="11"/>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num>
  <w:num w:numId="23">
    <w:abstractNumId w:val="0"/>
  </w:num>
  <w:num w:numId="24">
    <w:abstractNumId w:val="22"/>
  </w:num>
  <w:num w:numId="25">
    <w:abstractNumId w:val="2"/>
  </w:num>
  <w:num w:numId="26">
    <w:abstractNumId w:val="39"/>
  </w:num>
  <w:num w:numId="27">
    <w:abstractNumId w:val="8"/>
  </w:num>
  <w:num w:numId="28">
    <w:abstractNumId w:val="15"/>
  </w:num>
  <w:num w:numId="29">
    <w:abstractNumId w:val="32"/>
  </w:num>
  <w:num w:numId="30">
    <w:abstractNumId w:val="26"/>
  </w:num>
  <w:num w:numId="31">
    <w:abstractNumId w:val="17"/>
  </w:num>
  <w:num w:numId="32">
    <w:abstractNumId w:val="10"/>
  </w:num>
  <w:num w:numId="33">
    <w:abstractNumId w:val="37"/>
  </w:num>
  <w:num w:numId="34">
    <w:abstractNumId w:val="29"/>
  </w:num>
  <w:num w:numId="35">
    <w:abstractNumId w:val="20"/>
  </w:num>
  <w:num w:numId="3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28"/>
  </w:num>
  <w:num w:numId="39">
    <w:abstractNumId w:val="9"/>
  </w:num>
  <w:num w:numId="40">
    <w:abstractNumId w:val="40"/>
  </w:num>
  <w:num w:numId="41">
    <w:abstractNumId w:val="19"/>
  </w:num>
  <w:num w:numId="42">
    <w:abstractNumId w:val="23"/>
  </w:num>
  <w:num w:numId="4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1FA3"/>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1FE7"/>
    <w:rsid w:val="00022373"/>
    <w:rsid w:val="00022BC4"/>
    <w:rsid w:val="00022EE2"/>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17F6"/>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7B"/>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39A"/>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1DA"/>
    <w:rsid w:val="000E448C"/>
    <w:rsid w:val="000E4D00"/>
    <w:rsid w:val="000E548D"/>
    <w:rsid w:val="000E5BD3"/>
    <w:rsid w:val="000E5D4B"/>
    <w:rsid w:val="000E6A1C"/>
    <w:rsid w:val="000E6E5C"/>
    <w:rsid w:val="000E6EFC"/>
    <w:rsid w:val="000E706C"/>
    <w:rsid w:val="000E7AFA"/>
    <w:rsid w:val="000F0786"/>
    <w:rsid w:val="000F0E8B"/>
    <w:rsid w:val="000F1031"/>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0E0F"/>
    <w:rsid w:val="0010118D"/>
    <w:rsid w:val="0010129E"/>
    <w:rsid w:val="001012B9"/>
    <w:rsid w:val="001013EB"/>
    <w:rsid w:val="00101475"/>
    <w:rsid w:val="001014C7"/>
    <w:rsid w:val="00101AAD"/>
    <w:rsid w:val="00102895"/>
    <w:rsid w:val="0010294F"/>
    <w:rsid w:val="001029DA"/>
    <w:rsid w:val="00102A61"/>
    <w:rsid w:val="00102B06"/>
    <w:rsid w:val="00103272"/>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D27"/>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C26"/>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96B"/>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3DC"/>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A52"/>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54A4"/>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B5"/>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697"/>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1F5"/>
    <w:rsid w:val="00225462"/>
    <w:rsid w:val="0022654A"/>
    <w:rsid w:val="0022795B"/>
    <w:rsid w:val="00227C15"/>
    <w:rsid w:val="00227E07"/>
    <w:rsid w:val="00230566"/>
    <w:rsid w:val="00230D63"/>
    <w:rsid w:val="002312F4"/>
    <w:rsid w:val="0023131B"/>
    <w:rsid w:val="00231A14"/>
    <w:rsid w:val="00231A7E"/>
    <w:rsid w:val="00231C4E"/>
    <w:rsid w:val="00231FC7"/>
    <w:rsid w:val="00232B4D"/>
    <w:rsid w:val="00232EC0"/>
    <w:rsid w:val="00232F9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990"/>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5A3"/>
    <w:rsid w:val="00296DC9"/>
    <w:rsid w:val="00297370"/>
    <w:rsid w:val="00297A7F"/>
    <w:rsid w:val="00297BFB"/>
    <w:rsid w:val="00297CDF"/>
    <w:rsid w:val="002A00D4"/>
    <w:rsid w:val="002A00DD"/>
    <w:rsid w:val="002A0393"/>
    <w:rsid w:val="002A0A2F"/>
    <w:rsid w:val="002A0C9C"/>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DC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068"/>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918"/>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A8B"/>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98A"/>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393"/>
    <w:rsid w:val="003566D8"/>
    <w:rsid w:val="00356893"/>
    <w:rsid w:val="00356A04"/>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5B9"/>
    <w:rsid w:val="003676B4"/>
    <w:rsid w:val="00370081"/>
    <w:rsid w:val="00371255"/>
    <w:rsid w:val="003716F5"/>
    <w:rsid w:val="0037170D"/>
    <w:rsid w:val="0037189D"/>
    <w:rsid w:val="00371C3B"/>
    <w:rsid w:val="00371D84"/>
    <w:rsid w:val="00371FCA"/>
    <w:rsid w:val="003723DB"/>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785"/>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6CEA"/>
    <w:rsid w:val="003A72EA"/>
    <w:rsid w:val="003A73F8"/>
    <w:rsid w:val="003A791B"/>
    <w:rsid w:val="003B02A0"/>
    <w:rsid w:val="003B030B"/>
    <w:rsid w:val="003B0F00"/>
    <w:rsid w:val="003B15F7"/>
    <w:rsid w:val="003B195D"/>
    <w:rsid w:val="003B206A"/>
    <w:rsid w:val="003B2387"/>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6F9F"/>
    <w:rsid w:val="003C778B"/>
    <w:rsid w:val="003C78B6"/>
    <w:rsid w:val="003C79A7"/>
    <w:rsid w:val="003C7E14"/>
    <w:rsid w:val="003D01A6"/>
    <w:rsid w:val="003D01F4"/>
    <w:rsid w:val="003D04D4"/>
    <w:rsid w:val="003D053B"/>
    <w:rsid w:val="003D0FD8"/>
    <w:rsid w:val="003D22E0"/>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E84"/>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266E"/>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3AD"/>
    <w:rsid w:val="00471A07"/>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A13"/>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B96"/>
    <w:rsid w:val="00495D35"/>
    <w:rsid w:val="00495FCE"/>
    <w:rsid w:val="004961C9"/>
    <w:rsid w:val="004962A9"/>
    <w:rsid w:val="00496B0C"/>
    <w:rsid w:val="00497694"/>
    <w:rsid w:val="004978B2"/>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9BB"/>
    <w:rsid w:val="004A3A27"/>
    <w:rsid w:val="004A3E17"/>
    <w:rsid w:val="004A3EA4"/>
    <w:rsid w:val="004A438D"/>
    <w:rsid w:val="004A4416"/>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14"/>
    <w:rsid w:val="004E1230"/>
    <w:rsid w:val="004E1499"/>
    <w:rsid w:val="004E17D1"/>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E37"/>
    <w:rsid w:val="004E6F16"/>
    <w:rsid w:val="004E72F9"/>
    <w:rsid w:val="004F00EC"/>
    <w:rsid w:val="004F02D8"/>
    <w:rsid w:val="004F0573"/>
    <w:rsid w:val="004F0D2A"/>
    <w:rsid w:val="004F0DB4"/>
    <w:rsid w:val="004F1097"/>
    <w:rsid w:val="004F10C5"/>
    <w:rsid w:val="004F1321"/>
    <w:rsid w:val="004F1A95"/>
    <w:rsid w:val="004F2ADF"/>
    <w:rsid w:val="004F2BBC"/>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0F"/>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27C44"/>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39"/>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CB5"/>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586"/>
    <w:rsid w:val="00564CAD"/>
    <w:rsid w:val="00564FB1"/>
    <w:rsid w:val="0056501A"/>
    <w:rsid w:val="00565833"/>
    <w:rsid w:val="00565A34"/>
    <w:rsid w:val="00565EDF"/>
    <w:rsid w:val="005660A6"/>
    <w:rsid w:val="00566183"/>
    <w:rsid w:val="00566F1E"/>
    <w:rsid w:val="00566F27"/>
    <w:rsid w:val="00567343"/>
    <w:rsid w:val="005676E0"/>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20"/>
    <w:rsid w:val="005D39A4"/>
    <w:rsid w:val="005D3B3E"/>
    <w:rsid w:val="005D4892"/>
    <w:rsid w:val="005D5435"/>
    <w:rsid w:val="005D5612"/>
    <w:rsid w:val="005D587E"/>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1DC0"/>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8D8"/>
    <w:rsid w:val="005F7FCE"/>
    <w:rsid w:val="006004FE"/>
    <w:rsid w:val="00600723"/>
    <w:rsid w:val="00600D82"/>
    <w:rsid w:val="006017E3"/>
    <w:rsid w:val="00601914"/>
    <w:rsid w:val="0060248E"/>
    <w:rsid w:val="00602F1F"/>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35"/>
    <w:rsid w:val="00617DCA"/>
    <w:rsid w:val="00617E64"/>
    <w:rsid w:val="00617F8F"/>
    <w:rsid w:val="006200B4"/>
    <w:rsid w:val="0062021A"/>
    <w:rsid w:val="006202B1"/>
    <w:rsid w:val="006209AA"/>
    <w:rsid w:val="006210FD"/>
    <w:rsid w:val="0062164D"/>
    <w:rsid w:val="00621770"/>
    <w:rsid w:val="0062188F"/>
    <w:rsid w:val="006218C7"/>
    <w:rsid w:val="00621E1B"/>
    <w:rsid w:val="00621F08"/>
    <w:rsid w:val="00621F43"/>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AB4"/>
    <w:rsid w:val="00630C2E"/>
    <w:rsid w:val="0063111E"/>
    <w:rsid w:val="006314FD"/>
    <w:rsid w:val="0063176B"/>
    <w:rsid w:val="00631C79"/>
    <w:rsid w:val="00631D46"/>
    <w:rsid w:val="00631F4C"/>
    <w:rsid w:val="006320D7"/>
    <w:rsid w:val="0063286A"/>
    <w:rsid w:val="0063318B"/>
    <w:rsid w:val="00633366"/>
    <w:rsid w:val="0063349C"/>
    <w:rsid w:val="00633664"/>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DA4"/>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099"/>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9C2"/>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00E"/>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27C"/>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22"/>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8D"/>
    <w:rsid w:val="006F679B"/>
    <w:rsid w:val="006F6DE5"/>
    <w:rsid w:val="006F71BC"/>
    <w:rsid w:val="006F7557"/>
    <w:rsid w:val="006F7774"/>
    <w:rsid w:val="006F7B23"/>
    <w:rsid w:val="006F7B5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574"/>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444"/>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73"/>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72"/>
    <w:rsid w:val="007725EF"/>
    <w:rsid w:val="00772D32"/>
    <w:rsid w:val="00772DAB"/>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0FD0"/>
    <w:rsid w:val="00791995"/>
    <w:rsid w:val="00791C9B"/>
    <w:rsid w:val="007920E8"/>
    <w:rsid w:val="0079240D"/>
    <w:rsid w:val="00792BF7"/>
    <w:rsid w:val="007931B4"/>
    <w:rsid w:val="00793793"/>
    <w:rsid w:val="00793B5B"/>
    <w:rsid w:val="00793F1D"/>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05F"/>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9A6"/>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46"/>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47E"/>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D4A"/>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595"/>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669"/>
    <w:rsid w:val="00801D12"/>
    <w:rsid w:val="008021A9"/>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549"/>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71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6BB"/>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3F37"/>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3E"/>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C5E"/>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27"/>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661"/>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611"/>
    <w:rsid w:val="00930ACB"/>
    <w:rsid w:val="00931134"/>
    <w:rsid w:val="0093143D"/>
    <w:rsid w:val="00931962"/>
    <w:rsid w:val="00931C1B"/>
    <w:rsid w:val="0093222A"/>
    <w:rsid w:val="00932553"/>
    <w:rsid w:val="0093287C"/>
    <w:rsid w:val="00932A5B"/>
    <w:rsid w:val="00933880"/>
    <w:rsid w:val="00933C0D"/>
    <w:rsid w:val="00933F8D"/>
    <w:rsid w:val="00934066"/>
    <w:rsid w:val="00934864"/>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386"/>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C8F"/>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4E5"/>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656"/>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4B1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3F78"/>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126"/>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AC8"/>
    <w:rsid w:val="00A50CD6"/>
    <w:rsid w:val="00A5107C"/>
    <w:rsid w:val="00A51BB3"/>
    <w:rsid w:val="00A5286E"/>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450F"/>
    <w:rsid w:val="00A75457"/>
    <w:rsid w:val="00A755DE"/>
    <w:rsid w:val="00A75AA8"/>
    <w:rsid w:val="00A760A3"/>
    <w:rsid w:val="00A76587"/>
    <w:rsid w:val="00A765CD"/>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4509"/>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0"/>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42"/>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57F"/>
    <w:rsid w:val="00B016E1"/>
    <w:rsid w:val="00B01737"/>
    <w:rsid w:val="00B0186B"/>
    <w:rsid w:val="00B0191E"/>
    <w:rsid w:val="00B02E20"/>
    <w:rsid w:val="00B03208"/>
    <w:rsid w:val="00B034A1"/>
    <w:rsid w:val="00B03553"/>
    <w:rsid w:val="00B03592"/>
    <w:rsid w:val="00B036A3"/>
    <w:rsid w:val="00B0389D"/>
    <w:rsid w:val="00B03A3F"/>
    <w:rsid w:val="00B041FE"/>
    <w:rsid w:val="00B0450B"/>
    <w:rsid w:val="00B04AB1"/>
    <w:rsid w:val="00B04E18"/>
    <w:rsid w:val="00B0500D"/>
    <w:rsid w:val="00B05903"/>
    <w:rsid w:val="00B05FA4"/>
    <w:rsid w:val="00B061DB"/>
    <w:rsid w:val="00B06A17"/>
    <w:rsid w:val="00B06ED6"/>
    <w:rsid w:val="00B07420"/>
    <w:rsid w:val="00B0750B"/>
    <w:rsid w:val="00B07828"/>
    <w:rsid w:val="00B0786A"/>
    <w:rsid w:val="00B07D0E"/>
    <w:rsid w:val="00B07E53"/>
    <w:rsid w:val="00B10397"/>
    <w:rsid w:val="00B108BB"/>
    <w:rsid w:val="00B10BCE"/>
    <w:rsid w:val="00B10F8B"/>
    <w:rsid w:val="00B1182F"/>
    <w:rsid w:val="00B11B1F"/>
    <w:rsid w:val="00B12122"/>
    <w:rsid w:val="00B12996"/>
    <w:rsid w:val="00B12A81"/>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55"/>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6A7"/>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57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30"/>
    <w:rsid w:val="00B9643E"/>
    <w:rsid w:val="00B96A72"/>
    <w:rsid w:val="00B974D3"/>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184"/>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3F37"/>
    <w:rsid w:val="00BD474B"/>
    <w:rsid w:val="00BD4831"/>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11"/>
    <w:rsid w:val="00BE1822"/>
    <w:rsid w:val="00BE1946"/>
    <w:rsid w:val="00BE1C28"/>
    <w:rsid w:val="00BE26E2"/>
    <w:rsid w:val="00BE29B1"/>
    <w:rsid w:val="00BE34FB"/>
    <w:rsid w:val="00BE4056"/>
    <w:rsid w:val="00BE4808"/>
    <w:rsid w:val="00BE484A"/>
    <w:rsid w:val="00BE4934"/>
    <w:rsid w:val="00BE4C2A"/>
    <w:rsid w:val="00BE4CCA"/>
    <w:rsid w:val="00BE4ED4"/>
    <w:rsid w:val="00BE50C5"/>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7A3"/>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25B"/>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B3F"/>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373D"/>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2FEF"/>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3F9F"/>
    <w:rsid w:val="00CA5681"/>
    <w:rsid w:val="00CA5C2D"/>
    <w:rsid w:val="00CA5E7B"/>
    <w:rsid w:val="00CA5F54"/>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65EB"/>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9E0"/>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260"/>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47"/>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6FD9"/>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8CE"/>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875"/>
    <w:rsid w:val="00DE4CB2"/>
    <w:rsid w:val="00DE5123"/>
    <w:rsid w:val="00DE5261"/>
    <w:rsid w:val="00DE52C2"/>
    <w:rsid w:val="00DE5877"/>
    <w:rsid w:val="00DE5978"/>
    <w:rsid w:val="00DE5C38"/>
    <w:rsid w:val="00DE640B"/>
    <w:rsid w:val="00DE6D97"/>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166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17D42"/>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3BBD"/>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2D"/>
    <w:rsid w:val="00E475A1"/>
    <w:rsid w:val="00E47B44"/>
    <w:rsid w:val="00E502C8"/>
    <w:rsid w:val="00E50849"/>
    <w:rsid w:val="00E50E90"/>
    <w:rsid w:val="00E5109C"/>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C99"/>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B07"/>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155"/>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17D7"/>
    <w:rsid w:val="00E91FC3"/>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17"/>
    <w:rsid w:val="00EB1BA0"/>
    <w:rsid w:val="00EB1BBB"/>
    <w:rsid w:val="00EB1BFF"/>
    <w:rsid w:val="00EB25C7"/>
    <w:rsid w:val="00EB281F"/>
    <w:rsid w:val="00EB3243"/>
    <w:rsid w:val="00EB3276"/>
    <w:rsid w:val="00EB3961"/>
    <w:rsid w:val="00EB3D57"/>
    <w:rsid w:val="00EB3E64"/>
    <w:rsid w:val="00EB3E6E"/>
    <w:rsid w:val="00EB4012"/>
    <w:rsid w:val="00EB40C2"/>
    <w:rsid w:val="00EB466D"/>
    <w:rsid w:val="00EB46CC"/>
    <w:rsid w:val="00EB4A0F"/>
    <w:rsid w:val="00EB58AE"/>
    <w:rsid w:val="00EB5AD3"/>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70B"/>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CA5"/>
    <w:rsid w:val="00ED6F49"/>
    <w:rsid w:val="00ED74E5"/>
    <w:rsid w:val="00ED7686"/>
    <w:rsid w:val="00ED7709"/>
    <w:rsid w:val="00ED7A25"/>
    <w:rsid w:val="00ED7C55"/>
    <w:rsid w:val="00ED7CC7"/>
    <w:rsid w:val="00EE014B"/>
    <w:rsid w:val="00EE0284"/>
    <w:rsid w:val="00EE0567"/>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3FCA"/>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2F6C"/>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BCA"/>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9CD"/>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3F00"/>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77"/>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66F"/>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6CD"/>
    <w:rsid w:val="00FB3C04"/>
    <w:rsid w:val="00FB3EF8"/>
    <w:rsid w:val="00FB411A"/>
    <w:rsid w:val="00FB42B3"/>
    <w:rsid w:val="00FB42F1"/>
    <w:rsid w:val="00FB4547"/>
    <w:rsid w:val="00FB45C7"/>
    <w:rsid w:val="00FB4711"/>
    <w:rsid w:val="00FB484F"/>
    <w:rsid w:val="00FB48F6"/>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E7F1D"/>
    <w:rsid w:val="00FF0056"/>
    <w:rsid w:val="00FF0485"/>
    <w:rsid w:val="00FF0670"/>
    <w:rsid w:val="00FF0918"/>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A3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7A8B"/>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337A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7A8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qFormat/>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 w:type="character" w:customStyle="1" w:styleId="EQChar">
    <w:name w:val="EQ Char"/>
    <w:link w:val="EQ"/>
    <w:qFormat/>
    <w:locked/>
    <w:rsid w:val="009C7656"/>
    <w:rPr>
      <w:rFonts w:asciiTheme="minorHAnsi" w:eastAsiaTheme="minorEastAsia" w:hAnsiTheme="minorHAnsi" w:cstheme="minorBidi"/>
      <w:noProof/>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F3CEE-E57B-4482-9CB9-244141341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717</Words>
  <Characters>3823</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2022-11-07T20:19:00Z</dcterms:created>
  <dcterms:modified xsi:type="dcterms:W3CDTF">2022-11-07T20:19:00Z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2022-11-07T07:56:54Z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8221c64c-e8e7-41f5-b43f-a2be5a1b8d79</vt:lpwstr>
  </property>
  <property fmtid="{D5CDD505-2E9C-101B-9397-08002B2CF9AE}" pid="14" name="MSIP_Label_83bcef13-7cac-433f-ba1d-47a323951816_ContentBits">
    <vt:lpwstr>0</vt:lpwstr>
  </property>
</Properties>
</file>